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55A" w:rsidRPr="00910468" w:rsidRDefault="00D4255A" w:rsidP="00DD1ABB">
      <w:pPr>
        <w:keepNext/>
        <w:autoSpaceDE w:val="0"/>
        <w:autoSpaceDN w:val="0"/>
        <w:jc w:val="center"/>
        <w:outlineLvl w:val="0"/>
        <w:rPr>
          <w:b/>
          <w:bCs/>
          <w:spacing w:val="-12"/>
          <w:position w:val="-10"/>
          <w:sz w:val="28"/>
          <w:szCs w:val="28"/>
          <w:lang w:val="en-AU"/>
        </w:rPr>
      </w:pPr>
      <w:r w:rsidRPr="00910468">
        <w:rPr>
          <w:b/>
          <w:bCs/>
          <w:spacing w:val="-12"/>
          <w:position w:val="-10"/>
          <w:sz w:val="28"/>
          <w:szCs w:val="28"/>
          <w:lang w:val="en-AU"/>
        </w:rPr>
        <w:t xml:space="preserve">UBND XÃ </w:t>
      </w:r>
      <w:r w:rsidR="00CA60BF">
        <w:rPr>
          <w:b/>
          <w:bCs/>
          <w:spacing w:val="-12"/>
          <w:position w:val="-10"/>
          <w:sz w:val="28"/>
          <w:szCs w:val="28"/>
          <w:lang w:val="en-AU"/>
        </w:rPr>
        <w:t>THẠCH CHÂU</w:t>
      </w:r>
    </w:p>
    <w:p w:rsidR="00D4255A" w:rsidRPr="00910468" w:rsidRDefault="00D4255A" w:rsidP="00DD1ABB">
      <w:pPr>
        <w:ind w:firstLine="567"/>
        <w:jc w:val="both"/>
        <w:rPr>
          <w:bCs/>
          <w:spacing w:val="-12"/>
          <w:sz w:val="28"/>
          <w:szCs w:val="28"/>
        </w:rPr>
      </w:pPr>
      <w:r>
        <w:rPr>
          <w:bCs/>
          <w:noProof/>
          <w:spacing w:val="-12"/>
          <w:sz w:val="28"/>
          <w:szCs w:val="28"/>
        </w:rPr>
        <mc:AlternateContent>
          <mc:Choice Requires="wps">
            <w:drawing>
              <wp:anchor distT="0" distB="0" distL="114300" distR="114300" simplePos="0" relativeHeight="251659264" behindDoc="0" locked="0" layoutInCell="1" allowOverlap="1" wp14:anchorId="79B4541D" wp14:editId="160BE7D4">
                <wp:simplePos x="0" y="0"/>
                <wp:positionH relativeFrom="column">
                  <wp:posOffset>971550</wp:posOffset>
                </wp:positionH>
                <wp:positionV relativeFrom="paragraph">
                  <wp:posOffset>635</wp:posOffset>
                </wp:positionV>
                <wp:extent cx="914400" cy="0"/>
                <wp:effectExtent l="7620" t="12700" r="1143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05pt" to="14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"/>
            </w:pict>
          </mc:Fallback>
        </mc:AlternateContent>
      </w:r>
    </w:p>
    <w:p w:rsidR="00D4255A" w:rsidRPr="00DD1ABB" w:rsidRDefault="00D4255A" w:rsidP="00DD1ABB">
      <w:pPr>
        <w:pStyle w:val="Heading1"/>
        <w:pBdr>
          <w:bottom w:val="single" w:sz="6" w:space="8" w:color="999999"/>
        </w:pBdr>
        <w:shd w:val="clear" w:color="auto" w:fill="FFFFFF"/>
        <w:spacing w:after="150"/>
        <w:rPr>
          <w:sz w:val="29"/>
          <w:szCs w:val="33"/>
        </w:rPr>
      </w:pPr>
      <w:r w:rsidRPr="00DD1ABB">
        <w:rPr>
          <w:sz w:val="29"/>
          <w:szCs w:val="33"/>
        </w:rPr>
        <w:t>Một số điểm mới của chính sách trợ giúp xã hội trong Nghị định 20/2021/NĐ-CP của Chính phủ, liên quan đến đối tượng người khuyết tật</w:t>
      </w:r>
    </w:p>
    <w:p w:rsidR="00D4255A" w:rsidRPr="00910468" w:rsidRDefault="00D4255A" w:rsidP="00DD1ABB">
      <w:pPr>
        <w:jc w:val="both"/>
        <w:rPr>
          <w:rFonts w:eastAsia="VNI-Times"/>
          <w:b/>
          <w:spacing w:val="-12"/>
          <w:sz w:val="26"/>
          <w:szCs w:val="26"/>
        </w:rPr>
      </w:pPr>
      <w:r>
        <w:rPr>
          <w:noProof/>
          <w:spacing w:val="-12"/>
          <w:sz w:val="26"/>
          <w:szCs w:val="26"/>
        </w:rPr>
        <w:drawing>
          <wp:inline distT="0" distB="0" distL="0" distR="0" wp14:anchorId="61C97D44" wp14:editId="09D77DF6">
            <wp:extent cx="2857500" cy="1143000"/>
            <wp:effectExtent l="0" t="0" r="0" b="0"/>
            <wp:docPr id="1" name="Picture 1"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rStyle w:val="Strong"/>
          <w:sz w:val="28"/>
          <w:szCs w:val="20"/>
          <w:shd w:val="clear" w:color="auto" w:fill="FFFFFF"/>
        </w:rPr>
        <w:t>1. Chính sách trợ giúp xã hội thường xuyên tại cộng đồng có nhiều đổi mới</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rStyle w:val="Strong"/>
          <w:sz w:val="28"/>
          <w:szCs w:val="20"/>
          <w:shd w:val="clear" w:color="auto" w:fill="FFFFFF"/>
        </w:rPr>
        <w:t>* Thứ nhất: Tăng mức chuẩn trợ giúp xã hội</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sz w:val="28"/>
          <w:szCs w:val="20"/>
          <w:shd w:val="clear" w:color="auto" w:fill="FFFFFF"/>
        </w:rPr>
        <w:t>Một trong những điểm mới khá quan trọng của Nghị định này chính là: </w:t>
      </w:r>
      <w:r w:rsidRPr="00D4255A">
        <w:rPr>
          <w:rStyle w:val="Emphasis"/>
          <w:b/>
          <w:bCs/>
          <w:sz w:val="28"/>
          <w:szCs w:val="20"/>
          <w:shd w:val="clear" w:color="auto" w:fill="FFFFFF"/>
        </w:rPr>
        <w:t>tăng mức chuẩn TGXH </w:t>
      </w:r>
      <w:r w:rsidRPr="00D4255A">
        <w:rPr>
          <w:sz w:val="28"/>
          <w:szCs w:val="20"/>
          <w:shd w:val="clear" w:color="auto" w:fill="FFFFFF"/>
        </w:rPr>
        <w:t>đối với đối tượng bảo trợ xã hội. Theo khoản 2, Điều 4 Nghị định số 20/2021/NĐ-CP, mức chuẩn TGXH áp dụng từ ngày 01/07/2021 là</w:t>
      </w:r>
      <w:r w:rsidRPr="00D4255A">
        <w:rPr>
          <w:rStyle w:val="Strong"/>
          <w:sz w:val="28"/>
          <w:szCs w:val="20"/>
          <w:shd w:val="clear" w:color="auto" w:fill="FFFFFF"/>
        </w:rPr>
        <w:t> </w:t>
      </w:r>
      <w:r w:rsidRPr="00D4255A">
        <w:rPr>
          <w:rStyle w:val="Emphasis"/>
          <w:b/>
          <w:bCs/>
          <w:sz w:val="28"/>
          <w:szCs w:val="20"/>
          <w:shd w:val="clear" w:color="auto" w:fill="FFFFFF"/>
        </w:rPr>
        <w:t>360.000 đồng/tháng,</w:t>
      </w:r>
      <w:r w:rsidRPr="00D4255A">
        <w:rPr>
          <w:sz w:val="28"/>
          <w:szCs w:val="20"/>
          <w:shd w:val="clear" w:color="auto" w:fill="FFFFFF"/>
        </w:rPr>
        <w:t> </w:t>
      </w:r>
      <w:r w:rsidRPr="00D4255A">
        <w:rPr>
          <w:rStyle w:val="Emphasis"/>
          <w:sz w:val="28"/>
          <w:szCs w:val="20"/>
          <w:shd w:val="clear" w:color="auto" w:fill="FFFFFF"/>
        </w:rPr>
        <w:t>tăng 90.000 đồng/tháng</w:t>
      </w:r>
      <w:r w:rsidRPr="00D4255A">
        <w:rPr>
          <w:sz w:val="28"/>
          <w:szCs w:val="20"/>
          <w:shd w:val="clear" w:color="auto" w:fill="FFFFFF"/>
        </w:rPr>
        <w:t xml:space="preserve"> (gần 30%) so với mức 270.000 đồng/tháng </w:t>
      </w:r>
      <w:proofErr w:type="gramStart"/>
      <w:r w:rsidRPr="00D4255A">
        <w:rPr>
          <w:sz w:val="28"/>
          <w:szCs w:val="20"/>
          <w:shd w:val="clear" w:color="auto" w:fill="FFFFFF"/>
        </w:rPr>
        <w:t>theo</w:t>
      </w:r>
      <w:proofErr w:type="gramEnd"/>
      <w:r w:rsidRPr="00D4255A">
        <w:rPr>
          <w:sz w:val="28"/>
          <w:szCs w:val="20"/>
          <w:shd w:val="clear" w:color="auto" w:fill="FFFFFF"/>
        </w:rPr>
        <w:t xml:space="preserve"> quy định tại khoản 1, Điều 4, Nghị định số 136/2013/NĐ-CP.</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rStyle w:val="Strong"/>
          <w:sz w:val="28"/>
          <w:szCs w:val="20"/>
          <w:shd w:val="clear" w:color="auto" w:fill="FFFFFF"/>
        </w:rPr>
        <w:lastRenderedPageBreak/>
        <w:t>* Thứ hai: Đổi mới trong cách tính hệ số trợ cấp xã hội hàng tháng và kinh phí hỗ trợ nuôi dưỡng, chăm sóc người khuyết tật đặc biệt nặng sống tại hộ gia đình</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rStyle w:val="Emphasis"/>
          <w:b/>
          <w:bCs/>
          <w:sz w:val="28"/>
          <w:szCs w:val="20"/>
          <w:shd w:val="clear" w:color="auto" w:fill="FFFFFF"/>
        </w:rPr>
        <w:t>i) Đổi mới cách tính hệ số trợ cấp xã hội đối với trường hợp người đơn thân thuộc hộ nghèo đang nuôi con</w:t>
      </w:r>
      <w:r w:rsidRPr="00D4255A">
        <w:rPr>
          <w:sz w:val="28"/>
          <w:szCs w:val="20"/>
          <w:shd w:val="clear" w:color="auto" w:fill="FFFFFF"/>
        </w:rPr>
        <w:t> (khoản 4, Điều 5, Nghị định số 20/2021/NĐ-CP): Từ ngày 01/07/2021, người đơn thân nghèo đang nuôi con được hưởng </w:t>
      </w:r>
      <w:r w:rsidRPr="00D4255A">
        <w:rPr>
          <w:rStyle w:val="Emphasis"/>
          <w:sz w:val="28"/>
          <w:szCs w:val="20"/>
          <w:shd w:val="clear" w:color="auto" w:fill="FFFFFF"/>
        </w:rPr>
        <w:t>hệ số 1,0</w:t>
      </w:r>
      <w:r w:rsidRPr="00D4255A">
        <w:rPr>
          <w:sz w:val="28"/>
          <w:szCs w:val="20"/>
          <w:shd w:val="clear" w:color="auto" w:fill="FFFFFF"/>
        </w:rPr>
        <w:t> đối với </w:t>
      </w:r>
      <w:r w:rsidRPr="00D4255A">
        <w:rPr>
          <w:rStyle w:val="Emphasis"/>
          <w:sz w:val="28"/>
          <w:szCs w:val="20"/>
          <w:u w:val="single"/>
          <w:shd w:val="clear" w:color="auto" w:fill="FFFFFF"/>
        </w:rPr>
        <w:t>mỗi</w:t>
      </w:r>
      <w:r w:rsidRPr="00D4255A">
        <w:rPr>
          <w:sz w:val="28"/>
          <w:szCs w:val="20"/>
          <w:shd w:val="clear" w:color="auto" w:fill="FFFFFF"/>
        </w:rPr>
        <w:t> </w:t>
      </w:r>
      <w:r w:rsidRPr="00D4255A">
        <w:rPr>
          <w:rStyle w:val="Emphasis"/>
          <w:sz w:val="28"/>
          <w:szCs w:val="20"/>
          <w:shd w:val="clear" w:color="auto" w:fill="FFFFFF"/>
        </w:rPr>
        <w:t>một con đang nuôi</w:t>
      </w:r>
      <w:r w:rsidRPr="00D4255A">
        <w:rPr>
          <w:sz w:val="28"/>
          <w:szCs w:val="20"/>
          <w:shd w:val="clear" w:color="auto" w:fill="FFFFFF"/>
        </w:rPr>
        <w:t xml:space="preserve">. </w:t>
      </w:r>
      <w:proofErr w:type="gramStart"/>
      <w:r w:rsidRPr="00D4255A">
        <w:rPr>
          <w:sz w:val="28"/>
          <w:szCs w:val="20"/>
          <w:shd w:val="clear" w:color="auto" w:fill="FFFFFF"/>
        </w:rPr>
        <w:t>Đây là điểm mới so với quy định của NĐ 136/2013/NĐ-CP (tại điểm h, khoản 1, Điều 6).</w:t>
      </w:r>
      <w:proofErr w:type="gramEnd"/>
      <w:r w:rsidRPr="00D4255A">
        <w:rPr>
          <w:sz w:val="28"/>
          <w:szCs w:val="20"/>
          <w:shd w:val="clear" w:color="auto" w:fill="FFFFFF"/>
        </w:rPr>
        <w:t xml:space="preserve"> </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rStyle w:val="Emphasis"/>
          <w:b/>
          <w:bCs/>
          <w:sz w:val="28"/>
          <w:szCs w:val="20"/>
          <w:shd w:val="clear" w:color="auto" w:fill="FFFFFF"/>
        </w:rPr>
        <w:t>ii)</w:t>
      </w:r>
      <w:r w:rsidRPr="00D4255A">
        <w:rPr>
          <w:sz w:val="28"/>
          <w:szCs w:val="20"/>
          <w:shd w:val="clear" w:color="auto" w:fill="FFFFFF"/>
        </w:rPr>
        <w:t> </w:t>
      </w:r>
      <w:r w:rsidRPr="00D4255A">
        <w:rPr>
          <w:rStyle w:val="Emphasis"/>
          <w:b/>
          <w:bCs/>
          <w:sz w:val="28"/>
          <w:szCs w:val="20"/>
          <w:shd w:val="clear" w:color="auto" w:fill="FFFFFF"/>
        </w:rPr>
        <w:t xml:space="preserve">Đổi mới cách tính hệ số hưởng hỗ trợ kinh phí chăm sóc người khuyết tật đặc biệt nặng (ĐBN) đối với hộ gia đình </w:t>
      </w:r>
      <w:proofErr w:type="gramStart"/>
      <w:r w:rsidRPr="00D4255A">
        <w:rPr>
          <w:rStyle w:val="Emphasis"/>
          <w:b/>
          <w:bCs/>
          <w:sz w:val="28"/>
          <w:szCs w:val="20"/>
          <w:shd w:val="clear" w:color="auto" w:fill="FFFFFF"/>
        </w:rPr>
        <w:t>theo</w:t>
      </w:r>
      <w:proofErr w:type="gramEnd"/>
      <w:r w:rsidRPr="00D4255A">
        <w:rPr>
          <w:rStyle w:val="Emphasis"/>
          <w:b/>
          <w:bCs/>
          <w:sz w:val="28"/>
          <w:szCs w:val="20"/>
          <w:shd w:val="clear" w:color="auto" w:fill="FFFFFF"/>
        </w:rPr>
        <w:t xml:space="preserve"> hướng hợp lý hơn, đảm bảo quyền lợi chính đáng cho các hộ gia đình/cá nhân chăm sóc, nuôi dưỡng người khuyết tật ĐBN</w:t>
      </w:r>
    </w:p>
    <w:p w:rsidR="00D4255A" w:rsidRPr="00D4255A" w:rsidRDefault="00D4255A" w:rsidP="00DD1ABB">
      <w:pPr>
        <w:pStyle w:val="NormalWeb"/>
        <w:shd w:val="clear" w:color="auto" w:fill="FFFFFF"/>
        <w:spacing w:before="0" w:beforeAutospacing="0" w:after="0" w:afterAutospacing="0"/>
        <w:ind w:firstLine="720"/>
        <w:jc w:val="both"/>
        <w:rPr>
          <w:sz w:val="28"/>
          <w:szCs w:val="20"/>
          <w:shd w:val="clear" w:color="auto" w:fill="FFFFFF"/>
        </w:rPr>
      </w:pPr>
      <w:r w:rsidRPr="00D4255A">
        <w:rPr>
          <w:sz w:val="28"/>
          <w:szCs w:val="20"/>
          <w:shd w:val="clear" w:color="auto" w:fill="FFFFFF"/>
        </w:rPr>
        <w:t>Quy định mới của Nghị định 20/2021/NĐ-CP về </w:t>
      </w:r>
      <w:r w:rsidRPr="00D4255A">
        <w:rPr>
          <w:rStyle w:val="Emphasis"/>
          <w:sz w:val="28"/>
          <w:szCs w:val="20"/>
          <w:shd w:val="clear" w:color="auto" w:fill="FFFFFF"/>
        </w:rPr>
        <w:t>hệ số hỗ trợ kinh phí chăm só</w:t>
      </w:r>
      <w:r w:rsidRPr="00D4255A">
        <w:rPr>
          <w:sz w:val="28"/>
          <w:szCs w:val="20"/>
          <w:shd w:val="clear" w:color="auto" w:fill="FFFFFF"/>
        </w:rPr>
        <w:t>c đối với hộ gia đình đang trực tiếp nuôi dưỡng, chăm sóc người khuyết tật ĐBN được tính trên </w:t>
      </w:r>
      <w:r w:rsidRPr="00D4255A">
        <w:rPr>
          <w:rStyle w:val="Emphasis"/>
          <w:sz w:val="28"/>
          <w:szCs w:val="20"/>
          <w:u w:val="single"/>
          <w:shd w:val="clear" w:color="auto" w:fill="FFFFFF"/>
        </w:rPr>
        <w:t>mỗi</w:t>
      </w:r>
      <w:r w:rsidRPr="00D4255A">
        <w:rPr>
          <w:rStyle w:val="Emphasis"/>
          <w:sz w:val="28"/>
          <w:szCs w:val="20"/>
          <w:shd w:val="clear" w:color="auto" w:fill="FFFFFF"/>
        </w:rPr>
        <w:t> một người khuyết tật ĐBN</w:t>
      </w:r>
      <w:r w:rsidRPr="00D4255A">
        <w:rPr>
          <w:sz w:val="28"/>
          <w:szCs w:val="20"/>
          <w:shd w:val="clear" w:color="auto" w:fill="FFFFFF"/>
        </w:rPr>
        <w:t xml:space="preserve"> (hệ số 01), thay vì quy định áp dụng chung một hệ số duy nhất (hệ </w:t>
      </w:r>
      <w:r w:rsidRPr="00D4255A">
        <w:rPr>
          <w:sz w:val="28"/>
          <w:szCs w:val="20"/>
          <w:shd w:val="clear" w:color="auto" w:fill="FFFFFF"/>
        </w:rPr>
        <w:lastRenderedPageBreak/>
        <w:t xml:space="preserve">số 01) như quy định tại NĐ 28/2012/NĐ-CP (khoản 3, Điều 17). Điều này đã khắc phục điểm bất hợp lý, theo lối “cào bằng” của Nghị định 28/2012/NĐ-CP, đảm bảo quyền lợi đối với những gia đình chăm sóc, nuôi dưỡng người thân là hai người khuyết tật ĐBN trở lên, vốn là những trường hợp không hiếm trên thực tế. </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rStyle w:val="Strong"/>
          <w:sz w:val="28"/>
          <w:szCs w:val="20"/>
          <w:shd w:val="clear" w:color="auto" w:fill="FFFFFF"/>
        </w:rPr>
        <w:t>* Thứ ba:</w:t>
      </w:r>
      <w:r w:rsidRPr="00D4255A">
        <w:rPr>
          <w:sz w:val="28"/>
          <w:szCs w:val="20"/>
          <w:shd w:val="clear" w:color="auto" w:fill="FFFFFF"/>
        </w:rPr>
        <w:t> </w:t>
      </w:r>
      <w:r w:rsidRPr="00D4255A">
        <w:rPr>
          <w:rStyle w:val="Strong"/>
          <w:sz w:val="28"/>
          <w:szCs w:val="20"/>
          <w:shd w:val="clear" w:color="auto" w:fill="FFFFFF"/>
        </w:rPr>
        <w:t xml:space="preserve">Đổi mới về thời điểm được hưởng/điều chỉnh TCXH hàng tháng </w:t>
      </w:r>
      <w:proofErr w:type="gramStart"/>
      <w:r w:rsidRPr="00D4255A">
        <w:rPr>
          <w:rStyle w:val="Strong"/>
          <w:sz w:val="28"/>
          <w:szCs w:val="20"/>
          <w:shd w:val="clear" w:color="auto" w:fill="FFFFFF"/>
        </w:rPr>
        <w:t>theo</w:t>
      </w:r>
      <w:proofErr w:type="gramEnd"/>
      <w:r w:rsidRPr="00D4255A">
        <w:rPr>
          <w:rStyle w:val="Strong"/>
          <w:sz w:val="28"/>
          <w:szCs w:val="20"/>
          <w:shd w:val="clear" w:color="auto" w:fill="FFFFFF"/>
        </w:rPr>
        <w:t xml:space="preserve"> hướng hợp lý hơn, tăng cường việc đảm bảo lợi ích hợp pháp cho đối tượng được thụ hưởng, đặc biệt là đối với người khuyết tật</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sz w:val="28"/>
          <w:szCs w:val="20"/>
          <w:shd w:val="clear" w:color="auto" w:fill="FFFFFF"/>
        </w:rPr>
        <w:t>Việc tính thời gian hưởng/điều chỉnh trợ cấp xã hội hàng tháng, nếu nhìn qua tưởng chừng chỉ là một thủ tục hành chính đơn giản, nhưng nếu quy định thiếu hợp lý sẽ ảnh hưởng trực tiếp đến quyền lợi của đối tượng được thụ hưởng chính sách bảo trợ xã hội.</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sz w:val="28"/>
          <w:szCs w:val="20"/>
          <w:shd w:val="clear" w:color="auto" w:fill="FFFFFF"/>
        </w:rPr>
        <w:t>Nghị định 140/2018/NĐ-CP quy định: Trừ trường hợp người đủ 80 tuổi thuộc diện TCXH hàng tháng, </w:t>
      </w:r>
      <w:r w:rsidRPr="00D4255A">
        <w:rPr>
          <w:rStyle w:val="Emphasis"/>
          <w:sz w:val="28"/>
          <w:szCs w:val="20"/>
          <w:shd w:val="clear" w:color="auto" w:fill="FFFFFF"/>
        </w:rPr>
        <w:t>thời gian hưởng trợ cấp xã hội hàng tháng</w:t>
      </w:r>
      <w:r w:rsidRPr="00D4255A">
        <w:rPr>
          <w:sz w:val="28"/>
          <w:szCs w:val="20"/>
          <w:shd w:val="clear" w:color="auto" w:fill="FFFFFF"/>
        </w:rPr>
        <w:t> của những đối tượng khác (trong đó bao gồm người khuyết tật) cũng như </w:t>
      </w:r>
      <w:r w:rsidRPr="00D4255A">
        <w:rPr>
          <w:rStyle w:val="Emphasis"/>
          <w:sz w:val="28"/>
          <w:szCs w:val="20"/>
          <w:shd w:val="clear" w:color="auto" w:fill="FFFFFF"/>
        </w:rPr>
        <w:t>thời gian</w:t>
      </w:r>
      <w:r w:rsidRPr="00D4255A">
        <w:rPr>
          <w:sz w:val="28"/>
          <w:szCs w:val="20"/>
          <w:shd w:val="clear" w:color="auto" w:fill="FFFFFF"/>
        </w:rPr>
        <w:t> </w:t>
      </w:r>
      <w:r w:rsidRPr="00D4255A">
        <w:rPr>
          <w:rStyle w:val="Emphasis"/>
          <w:sz w:val="28"/>
          <w:szCs w:val="20"/>
          <w:shd w:val="clear" w:color="auto" w:fill="FFFFFF"/>
        </w:rPr>
        <w:t>điều chỉnh</w:t>
      </w:r>
      <w:r w:rsidRPr="00D4255A">
        <w:rPr>
          <w:sz w:val="28"/>
          <w:szCs w:val="20"/>
          <w:shd w:val="clear" w:color="auto" w:fill="FFFFFF"/>
        </w:rPr>
        <w:t>, thôi hưởng </w:t>
      </w:r>
      <w:r w:rsidRPr="00D4255A">
        <w:rPr>
          <w:rStyle w:val="Emphasis"/>
          <w:sz w:val="28"/>
          <w:szCs w:val="20"/>
          <w:shd w:val="clear" w:color="auto" w:fill="FFFFFF"/>
        </w:rPr>
        <w:t xml:space="preserve">trợ cấp xã hội hàng </w:t>
      </w:r>
      <w:r w:rsidRPr="00D4255A">
        <w:rPr>
          <w:rStyle w:val="Emphasis"/>
          <w:sz w:val="28"/>
          <w:szCs w:val="20"/>
          <w:shd w:val="clear" w:color="auto" w:fill="FFFFFF"/>
        </w:rPr>
        <w:lastRenderedPageBreak/>
        <w:t>tháng</w:t>
      </w:r>
      <w:r w:rsidRPr="00D4255A">
        <w:rPr>
          <w:sz w:val="28"/>
          <w:szCs w:val="20"/>
          <w:shd w:val="clear" w:color="auto" w:fill="FFFFFF"/>
        </w:rPr>
        <w:t> </w:t>
      </w:r>
      <w:r w:rsidRPr="00D4255A">
        <w:rPr>
          <w:rStyle w:val="Emphasis"/>
          <w:sz w:val="28"/>
          <w:szCs w:val="20"/>
          <w:shd w:val="clear" w:color="auto" w:fill="FFFFFF"/>
        </w:rPr>
        <w:t>được tính kể từ tháng ngay sau tháng Chủ tịch Ủy ban nhân dân cấp huyện ký quyết định</w:t>
      </w:r>
      <w:r w:rsidRPr="00D4255A">
        <w:rPr>
          <w:sz w:val="28"/>
          <w:szCs w:val="20"/>
          <w:shd w:val="clear" w:color="auto" w:fill="FFFFFF"/>
        </w:rPr>
        <w:t xml:space="preserve"> (điểm đ, K2, Điều 17). </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rStyle w:val="Strong"/>
          <w:sz w:val="28"/>
          <w:szCs w:val="20"/>
          <w:shd w:val="clear" w:color="auto" w:fill="FFFFFF"/>
        </w:rPr>
        <w:t>2. Những điểm mới chủ yếu trong chính sách trợ giúp xã hội khẩn cấp tại Nghị định 20/2021/NĐ-CP:</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rStyle w:val="Emphasis"/>
          <w:b/>
          <w:bCs/>
          <w:sz w:val="28"/>
          <w:szCs w:val="20"/>
          <w:shd w:val="clear" w:color="auto" w:fill="FFFFFF"/>
        </w:rPr>
        <w:t>i)</w:t>
      </w:r>
      <w:r w:rsidRPr="00D4255A">
        <w:rPr>
          <w:rStyle w:val="Strong"/>
          <w:sz w:val="28"/>
          <w:szCs w:val="20"/>
          <w:shd w:val="clear" w:color="auto" w:fill="FFFFFF"/>
        </w:rPr>
        <w:t> </w:t>
      </w:r>
      <w:r w:rsidRPr="00D4255A">
        <w:rPr>
          <w:rStyle w:val="Emphasis"/>
          <w:b/>
          <w:bCs/>
          <w:sz w:val="28"/>
          <w:szCs w:val="20"/>
          <w:shd w:val="clear" w:color="auto" w:fill="FFFFFF"/>
        </w:rPr>
        <w:t>Thứ nhất: Tăng cường, đa dạng hóa hình thức hỗ trợ khẩn cấp</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sz w:val="28"/>
          <w:szCs w:val="20"/>
          <w:shd w:val="clear" w:color="auto" w:fill="FFFFFF"/>
        </w:rPr>
        <w:t>Bên cạnh hình thức hỗ trợ lương thực, Nghị định 20/2021/NĐ-CP quy định </w:t>
      </w:r>
      <w:r w:rsidRPr="00D4255A">
        <w:rPr>
          <w:sz w:val="28"/>
          <w:szCs w:val="20"/>
          <w:u w:val="single"/>
          <w:shd w:val="clear" w:color="auto" w:fill="FFFFFF"/>
        </w:rPr>
        <w:t>bổ sung hỗ trợ nhu yếu phẩm thiết yếu</w:t>
      </w:r>
      <w:r w:rsidRPr="00D4255A">
        <w:rPr>
          <w:sz w:val="28"/>
          <w:szCs w:val="20"/>
          <w:shd w:val="clear" w:color="auto" w:fill="FFFFFF"/>
        </w:rPr>
        <w:t> đối với các đối tượng có hoàn cảnh khó khăn do thiên tai, hỏa hoạn, dịch bệnh hoặc lý do bất khả kháng khác mà mất nhà ở và không có khả năng tự bảo đảm các nhu cầu thiết yếu: Theo đó, các đối tượng này được được xem xét hỗ trợ từ nguồn lực huy động hoặc nguồn dự trữ quốc gia: </w:t>
      </w:r>
      <w:r w:rsidRPr="00D4255A">
        <w:rPr>
          <w:rStyle w:val="Emphasis"/>
          <w:sz w:val="28"/>
          <w:szCs w:val="20"/>
          <w:shd w:val="clear" w:color="auto" w:fill="FFFFFF"/>
        </w:rPr>
        <w:t>lều bạt, nước uống, thực phẩm, chăn màn, xoong nồi, chất đốt, xuồng máy và một số mặt hàng thiết yếu khác</w:t>
      </w:r>
      <w:r w:rsidRPr="00D4255A">
        <w:rPr>
          <w:sz w:val="28"/>
          <w:szCs w:val="20"/>
          <w:shd w:val="clear" w:color="auto" w:fill="FFFFFF"/>
        </w:rPr>
        <w:t> phục vụ nhu cầu trước mắt, tại chỗ (khoản 2 Điều 12 Nghị định số 20/2021/NĐ-CP).</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rStyle w:val="Emphasis"/>
          <w:b/>
          <w:bCs/>
          <w:sz w:val="28"/>
          <w:szCs w:val="20"/>
          <w:shd w:val="clear" w:color="auto" w:fill="FFFFFF"/>
        </w:rPr>
        <w:t xml:space="preserve">ii) Thứ hai: Tăng mức hỗ trợ đối với hỗ trợ kinh phí làm nhà, sửa chữa nhà, hỗ trợ chi phí mai táng do hậu quả của thiên </w:t>
      </w:r>
      <w:proofErr w:type="gramStart"/>
      <w:r w:rsidRPr="00D4255A">
        <w:rPr>
          <w:rStyle w:val="Emphasis"/>
          <w:b/>
          <w:bCs/>
          <w:sz w:val="28"/>
          <w:szCs w:val="20"/>
          <w:shd w:val="clear" w:color="auto" w:fill="FFFFFF"/>
        </w:rPr>
        <w:t>tai</w:t>
      </w:r>
      <w:proofErr w:type="gramEnd"/>
      <w:r w:rsidRPr="00D4255A">
        <w:rPr>
          <w:rStyle w:val="Emphasis"/>
          <w:b/>
          <w:bCs/>
          <w:sz w:val="28"/>
          <w:szCs w:val="20"/>
          <w:shd w:val="clear" w:color="auto" w:fill="FFFFFF"/>
        </w:rPr>
        <w:t>, lũ lụt, vv</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sz w:val="28"/>
          <w:szCs w:val="20"/>
          <w:shd w:val="clear" w:color="auto" w:fill="FFFFFF"/>
        </w:rPr>
        <w:lastRenderedPageBreak/>
        <w:t>Nghị định số 20/2021/NĐ-CP (Điều 15) quy định các </w:t>
      </w:r>
      <w:r w:rsidRPr="00D4255A">
        <w:rPr>
          <w:rStyle w:val="Emphasis"/>
          <w:sz w:val="28"/>
          <w:szCs w:val="20"/>
          <w:shd w:val="clear" w:color="auto" w:fill="FFFFFF"/>
        </w:rPr>
        <w:t>mức hỗ trợ kinh phí làm nhà, di dời, sửa chữa nhà vì lý do thiên tai, hỏa hoạn và các trường hợp bất khả kháng khác đều tăng so với mức hỗ trợ của Nghị định số 136/2013/NĐ-CP. </w:t>
      </w:r>
      <w:r w:rsidRPr="00D4255A">
        <w:rPr>
          <w:sz w:val="28"/>
          <w:szCs w:val="20"/>
          <w:shd w:val="clear" w:color="auto" w:fill="FFFFFF"/>
        </w:rPr>
        <w:t>Cụ thể: Mức </w:t>
      </w:r>
      <w:r w:rsidRPr="00D4255A">
        <w:rPr>
          <w:rStyle w:val="Emphasis"/>
          <w:sz w:val="28"/>
          <w:szCs w:val="20"/>
          <w:shd w:val="clear" w:color="auto" w:fill="FFFFFF"/>
        </w:rPr>
        <w:t>hỗ trợ kinh phí làm nhà ở</w:t>
      </w:r>
      <w:r w:rsidRPr="00D4255A">
        <w:rPr>
          <w:sz w:val="28"/>
          <w:szCs w:val="20"/>
          <w:shd w:val="clear" w:color="auto" w:fill="FFFFFF"/>
        </w:rPr>
        <w:t> đối với hộ nghèo, hộ cận nghèo, hộ gia đình có hoàn cảnh khó khăn có nhà ở bị đổ, sập, trôi, cháy hoàn toàn do thiên tai, hỏa hoạn hoặc lý do bất khả kháng khác mà không còn nơi ở (40 triệu đồng/hộ) được </w:t>
      </w:r>
      <w:r w:rsidRPr="00D4255A">
        <w:rPr>
          <w:rStyle w:val="Emphasis"/>
          <w:sz w:val="28"/>
          <w:szCs w:val="20"/>
          <w:shd w:val="clear" w:color="auto" w:fill="FFFFFF"/>
        </w:rPr>
        <w:t>tăng gấp đôi.</w:t>
      </w:r>
      <w:bookmarkStart w:id="0" w:name="_ftnref16"/>
      <w:r w:rsidRPr="00D4255A">
        <w:rPr>
          <w:rStyle w:val="Emphasis"/>
          <w:sz w:val="28"/>
          <w:szCs w:val="20"/>
          <w:shd w:val="clear" w:color="auto" w:fill="FFFFFF"/>
        </w:rPr>
        <w:fldChar w:fldCharType="begin"/>
      </w:r>
      <w:r w:rsidRPr="00D4255A">
        <w:rPr>
          <w:rStyle w:val="Emphasis"/>
          <w:sz w:val="28"/>
          <w:szCs w:val="20"/>
          <w:shd w:val="clear" w:color="auto" w:fill="FFFFFF"/>
        </w:rPr>
        <w:instrText xml:space="preserve"> HYPERLINK "https://tuvanmienphi.vn/vi/phap-luat/995-mot-so-diem-moi-cua-chinh-sach-tro-giup-xa-hoi-trong-nghi-dinh-202021nd-cp-cua-chinh-phu-lien-quan-den-doi-tuong-nguoi-khuyet-tat.html" \l "_ftn16" \o "" </w:instrText>
      </w:r>
      <w:r w:rsidRPr="00D4255A">
        <w:rPr>
          <w:rStyle w:val="Emphasis"/>
          <w:sz w:val="28"/>
          <w:szCs w:val="20"/>
          <w:shd w:val="clear" w:color="auto" w:fill="FFFFFF"/>
        </w:rPr>
        <w:fldChar w:fldCharType="end"/>
      </w:r>
      <w:bookmarkEnd w:id="0"/>
      <w:r w:rsidRPr="00D4255A">
        <w:rPr>
          <w:rStyle w:val="Emphasis"/>
          <w:sz w:val="28"/>
          <w:szCs w:val="20"/>
          <w:shd w:val="clear" w:color="auto" w:fill="FFFFFF"/>
        </w:rPr>
        <w:t xml:space="preserve"> </w:t>
      </w:r>
      <w:r w:rsidRPr="00D4255A">
        <w:rPr>
          <w:sz w:val="28"/>
          <w:szCs w:val="20"/>
          <w:shd w:val="clear" w:color="auto" w:fill="FFFFFF"/>
        </w:rPr>
        <w:t> Mức kinh phí tối thiểu </w:t>
      </w:r>
      <w:r w:rsidRPr="00D4255A">
        <w:rPr>
          <w:rStyle w:val="Emphasis"/>
          <w:sz w:val="28"/>
          <w:szCs w:val="20"/>
          <w:shd w:val="clear" w:color="auto" w:fill="FFFFFF"/>
        </w:rPr>
        <w:t>hỗ trợ hộ phải di dời nhà ở khẩn cấp</w:t>
      </w:r>
      <w:r w:rsidRPr="00D4255A">
        <w:rPr>
          <w:sz w:val="28"/>
          <w:szCs w:val="20"/>
          <w:shd w:val="clear" w:color="auto" w:fill="FFFFFF"/>
        </w:rPr>
        <w:t> </w:t>
      </w:r>
      <w:proofErr w:type="gramStart"/>
      <w:r w:rsidRPr="00D4255A">
        <w:rPr>
          <w:sz w:val="28"/>
          <w:szCs w:val="20"/>
          <w:shd w:val="clear" w:color="auto" w:fill="FFFFFF"/>
        </w:rPr>
        <w:t>theo</w:t>
      </w:r>
      <w:proofErr w:type="gramEnd"/>
      <w:r w:rsidRPr="00D4255A">
        <w:rPr>
          <w:sz w:val="28"/>
          <w:szCs w:val="20"/>
          <w:shd w:val="clear" w:color="auto" w:fill="FFFFFF"/>
        </w:rPr>
        <w:t xml:space="preserve"> quyết định của cơ quan có thẩm quyền do nguy cơ sạt lở, lũ, lụt, thiên tai, hỏa hoạn hoặc lý do bất khả kháng khác (30 triệu) cũng </w:t>
      </w:r>
      <w:r w:rsidRPr="00D4255A">
        <w:rPr>
          <w:rStyle w:val="Emphasis"/>
          <w:sz w:val="28"/>
          <w:szCs w:val="20"/>
          <w:shd w:val="clear" w:color="auto" w:fill="FFFFFF"/>
        </w:rPr>
        <w:t>tăng gấp rưỡi</w:t>
      </w:r>
      <w:r w:rsidRPr="00D4255A">
        <w:rPr>
          <w:sz w:val="28"/>
          <w:szCs w:val="20"/>
          <w:shd w:val="clear" w:color="auto" w:fill="FFFFFF"/>
        </w:rPr>
        <w:t>.</w:t>
      </w:r>
      <w:bookmarkStart w:id="1" w:name="_ftnref17"/>
      <w:r w:rsidRPr="00D4255A">
        <w:rPr>
          <w:sz w:val="28"/>
          <w:szCs w:val="20"/>
          <w:shd w:val="clear" w:color="auto" w:fill="FFFFFF"/>
        </w:rPr>
        <w:fldChar w:fldCharType="begin"/>
      </w:r>
      <w:r w:rsidRPr="00D4255A">
        <w:rPr>
          <w:sz w:val="28"/>
          <w:szCs w:val="20"/>
          <w:shd w:val="clear" w:color="auto" w:fill="FFFFFF"/>
        </w:rPr>
        <w:instrText xml:space="preserve"> HYPERLINK "https://tuvanmienphi.vn/vi/phap-luat/995-mot-so-diem-moi-cua-chinh-sach-tro-giup-xa-hoi-trong-nghi-dinh-202021nd-cp-cua-chinh-phu-lien-quan-den-doi-tuong-nguoi-khuyet-tat.html" \l "_ftn17" \o "" </w:instrText>
      </w:r>
      <w:r w:rsidRPr="00D4255A">
        <w:rPr>
          <w:sz w:val="28"/>
          <w:szCs w:val="20"/>
          <w:shd w:val="clear" w:color="auto" w:fill="FFFFFF"/>
        </w:rPr>
        <w:fldChar w:fldCharType="separate"/>
      </w:r>
      <w:r w:rsidRPr="00D4255A">
        <w:rPr>
          <w:rStyle w:val="Hyperlink"/>
          <w:sz w:val="28"/>
        </w:rPr>
        <w:t xml:space="preserve"> </w:t>
      </w:r>
      <w:r w:rsidRPr="00D4255A">
        <w:rPr>
          <w:sz w:val="28"/>
          <w:szCs w:val="20"/>
          <w:shd w:val="clear" w:color="auto" w:fill="FFFFFF"/>
        </w:rPr>
        <w:fldChar w:fldCharType="end"/>
      </w:r>
      <w:bookmarkEnd w:id="1"/>
      <w:r w:rsidRPr="00D4255A">
        <w:rPr>
          <w:sz w:val="28"/>
          <w:szCs w:val="20"/>
          <w:shd w:val="clear" w:color="auto" w:fill="FFFFFF"/>
        </w:rPr>
        <w:t> Mức </w:t>
      </w:r>
      <w:r w:rsidRPr="00D4255A">
        <w:rPr>
          <w:rStyle w:val="Emphasis"/>
          <w:sz w:val="28"/>
          <w:szCs w:val="20"/>
          <w:shd w:val="clear" w:color="auto" w:fill="FFFFFF"/>
        </w:rPr>
        <w:t>hỗ trợ</w:t>
      </w:r>
      <w:r w:rsidRPr="00D4255A">
        <w:rPr>
          <w:sz w:val="28"/>
          <w:szCs w:val="20"/>
          <w:shd w:val="clear" w:color="auto" w:fill="FFFFFF"/>
        </w:rPr>
        <w:t> </w:t>
      </w:r>
      <w:r w:rsidRPr="00D4255A">
        <w:rPr>
          <w:rStyle w:val="Emphasis"/>
          <w:sz w:val="28"/>
          <w:szCs w:val="20"/>
          <w:shd w:val="clear" w:color="auto" w:fill="FFFFFF"/>
        </w:rPr>
        <w:t>sữa chữa nhà</w:t>
      </w:r>
      <w:r w:rsidRPr="00D4255A">
        <w:rPr>
          <w:sz w:val="28"/>
          <w:szCs w:val="20"/>
          <w:shd w:val="clear" w:color="auto" w:fill="FFFFFF"/>
        </w:rPr>
        <w:t> đối với </w:t>
      </w:r>
      <w:r w:rsidRPr="00D4255A">
        <w:rPr>
          <w:rStyle w:val="Emphasis"/>
          <w:sz w:val="28"/>
          <w:szCs w:val="20"/>
          <w:shd w:val="clear" w:color="auto" w:fill="FFFFFF"/>
        </w:rPr>
        <w:t>hộ nghèo hộ cận nghèo, hộ gia đình có hoàn cảnh khó khăn</w:t>
      </w:r>
      <w:r w:rsidRPr="00D4255A">
        <w:rPr>
          <w:sz w:val="28"/>
          <w:szCs w:val="20"/>
          <w:shd w:val="clear" w:color="auto" w:fill="FFFFFF"/>
        </w:rPr>
        <w:t xml:space="preserve"> vì lý do thiên </w:t>
      </w:r>
      <w:proofErr w:type="gramStart"/>
      <w:r w:rsidRPr="00D4255A">
        <w:rPr>
          <w:sz w:val="28"/>
          <w:szCs w:val="20"/>
          <w:shd w:val="clear" w:color="auto" w:fill="FFFFFF"/>
        </w:rPr>
        <w:t>tai</w:t>
      </w:r>
      <w:proofErr w:type="gramEnd"/>
      <w:r w:rsidRPr="00D4255A">
        <w:rPr>
          <w:sz w:val="28"/>
          <w:szCs w:val="20"/>
          <w:shd w:val="clear" w:color="auto" w:fill="FFFFFF"/>
        </w:rPr>
        <w:t>, hỏa hoạn... là 20 triệu, </w:t>
      </w:r>
      <w:r w:rsidRPr="00D4255A">
        <w:rPr>
          <w:rStyle w:val="Emphasis"/>
          <w:sz w:val="28"/>
          <w:szCs w:val="20"/>
          <w:shd w:val="clear" w:color="auto" w:fill="FFFFFF"/>
        </w:rPr>
        <w:t>cũng tăng 25%.</w:t>
      </w:r>
    </w:p>
    <w:p w:rsidR="00D4255A" w:rsidRPr="00D4255A" w:rsidRDefault="00D4255A" w:rsidP="00DD1ABB">
      <w:pPr>
        <w:pStyle w:val="NormalWeb"/>
        <w:shd w:val="clear" w:color="auto" w:fill="FFFFFF"/>
        <w:spacing w:before="0" w:beforeAutospacing="0" w:after="0" w:afterAutospacing="0"/>
        <w:ind w:firstLine="720"/>
        <w:jc w:val="both"/>
        <w:rPr>
          <w:sz w:val="28"/>
          <w:szCs w:val="20"/>
        </w:rPr>
      </w:pPr>
      <w:r w:rsidRPr="00D4255A">
        <w:rPr>
          <w:rStyle w:val="Strong"/>
          <w:sz w:val="28"/>
          <w:szCs w:val="20"/>
          <w:shd w:val="clear" w:color="auto" w:fill="FFFFFF"/>
        </w:rPr>
        <w:t>3.</w:t>
      </w:r>
      <w:r w:rsidRPr="00D4255A">
        <w:rPr>
          <w:rStyle w:val="Emphasis"/>
          <w:b/>
          <w:bCs/>
          <w:sz w:val="28"/>
          <w:szCs w:val="20"/>
          <w:shd w:val="clear" w:color="auto" w:fill="FFFFFF"/>
        </w:rPr>
        <w:t> </w:t>
      </w:r>
      <w:r w:rsidRPr="00D4255A">
        <w:rPr>
          <w:rStyle w:val="Strong"/>
          <w:sz w:val="28"/>
          <w:szCs w:val="20"/>
          <w:shd w:val="clear" w:color="auto" w:fill="FFFFFF"/>
        </w:rPr>
        <w:t>Đơn giản hóa thủ tục hành chính, giảm thời gian giải quyết các thủ tục TGXH đối với các đối tượng bảo trợ xã hội</w:t>
      </w:r>
    </w:p>
    <w:p w:rsidR="00D4255A" w:rsidRPr="00D4255A" w:rsidRDefault="00D4255A" w:rsidP="00DD1ABB">
      <w:pPr>
        <w:pStyle w:val="NormalWeb"/>
        <w:shd w:val="clear" w:color="auto" w:fill="FFFFFF"/>
        <w:spacing w:before="0" w:beforeAutospacing="0" w:after="0" w:afterAutospacing="0"/>
        <w:ind w:firstLine="720"/>
        <w:jc w:val="both"/>
        <w:rPr>
          <w:sz w:val="28"/>
          <w:szCs w:val="20"/>
          <w:shd w:val="clear" w:color="auto" w:fill="FFFFFF"/>
        </w:rPr>
      </w:pPr>
      <w:r w:rsidRPr="00D4255A">
        <w:rPr>
          <w:sz w:val="28"/>
          <w:szCs w:val="20"/>
          <w:shd w:val="clear" w:color="auto" w:fill="FFFFFF"/>
        </w:rPr>
        <w:t>Nghị định số 20/2021/NĐ-CP cũng đã </w:t>
      </w:r>
      <w:r w:rsidRPr="00D4255A">
        <w:rPr>
          <w:rStyle w:val="Strong"/>
          <w:sz w:val="28"/>
          <w:szCs w:val="20"/>
          <w:shd w:val="clear" w:color="auto" w:fill="FFFFFF"/>
        </w:rPr>
        <w:t>đơn giản hóa</w:t>
      </w:r>
      <w:r w:rsidRPr="00D4255A">
        <w:rPr>
          <w:sz w:val="28"/>
          <w:szCs w:val="20"/>
          <w:shd w:val="clear" w:color="auto" w:fill="FFFFFF"/>
        </w:rPr>
        <w:t xml:space="preserve"> các thủ tục thực hiện, điều chỉnh, thôi hưởng </w:t>
      </w:r>
      <w:r w:rsidRPr="00D4255A">
        <w:rPr>
          <w:sz w:val="28"/>
          <w:szCs w:val="20"/>
          <w:shd w:val="clear" w:color="auto" w:fill="FFFFFF"/>
        </w:rPr>
        <w:lastRenderedPageBreak/>
        <w:t>TCXH hàng tháng, hỗ trợ kinh phí chăm sóc, nuôi dưỡng hàng tháng so với Nghị định số 140/2018/NĐ-CP bằng việc </w:t>
      </w:r>
      <w:r w:rsidRPr="00D4255A">
        <w:rPr>
          <w:rStyle w:val="Emphasis"/>
          <w:sz w:val="28"/>
          <w:szCs w:val="20"/>
          <w:shd w:val="clear" w:color="auto" w:fill="FFFFFF"/>
        </w:rPr>
        <w:t>bỏ mô hình “Hội đồng xét duyệt TGXH</w:t>
      </w:r>
      <w:r w:rsidRPr="00D4255A">
        <w:rPr>
          <w:sz w:val="28"/>
          <w:szCs w:val="20"/>
          <w:shd w:val="clear" w:color="auto" w:fill="FFFFFF"/>
        </w:rPr>
        <w:t>”, Việc đơn giản hóa quy trình thủ tục xét duyệt hồ sơ TGXH nhằm tăng cường trách nhiệm của cá nhân công chức có thẩm quyền, tiết kiệm thời gian giải quyết, xử lý công việc của UBND cấp xã. Bên cạnh đó, </w:t>
      </w:r>
      <w:r w:rsidRPr="00D4255A">
        <w:rPr>
          <w:rStyle w:val="Emphasis"/>
          <w:sz w:val="28"/>
          <w:szCs w:val="20"/>
          <w:shd w:val="clear" w:color="auto" w:fill="FFFFFF"/>
        </w:rPr>
        <w:t>thời gian giải quyết các thủ tục TGXH cũng rút ngắn đáng kể</w:t>
      </w:r>
      <w:r w:rsidRPr="00D4255A">
        <w:rPr>
          <w:sz w:val="28"/>
          <w:szCs w:val="20"/>
          <w:shd w:val="clear" w:color="auto" w:fill="FFFFFF"/>
        </w:rPr>
        <w:t xml:space="preserve">: Nếu thời gian do Hội đồng xét duyệt TGXH xét duyệt hồ sơ là 10 ngày làm việc, cộng với thời gian niêm yết công khai, thời gian Chủ tịch UBND cấp xã gửi văn bản đề nghị lên Phòng LĐTBXH, tổng cộng là 18 ngày làm việc thì cùng thủ tục này, Nghị định 20/2021/NĐ-CP quy định tổng cộng thời gian giải quyết chỉ còn 12 </w:t>
      </w:r>
      <w:proofErr w:type="gramStart"/>
      <w:r w:rsidRPr="00D4255A">
        <w:rPr>
          <w:sz w:val="28"/>
          <w:szCs w:val="20"/>
          <w:shd w:val="clear" w:color="auto" w:fill="FFFFFF"/>
        </w:rPr>
        <w:t>ngày .</w:t>
      </w:r>
      <w:proofErr w:type="gramEnd"/>
    </w:p>
    <w:p w:rsidR="00D4255A" w:rsidRPr="00910468" w:rsidRDefault="00D4255A" w:rsidP="00DD1ABB">
      <w:pPr>
        <w:pStyle w:val="NormalWeb"/>
        <w:shd w:val="clear" w:color="auto" w:fill="FFFFFF"/>
        <w:spacing w:before="0" w:beforeAutospacing="0" w:after="0" w:afterAutospacing="0"/>
        <w:ind w:firstLine="720"/>
        <w:jc w:val="both"/>
        <w:rPr>
          <w:sz w:val="20"/>
          <w:szCs w:val="20"/>
          <w:shd w:val="clear" w:color="auto" w:fill="FFFFFF"/>
        </w:rPr>
      </w:pPr>
    </w:p>
    <w:p w:rsidR="00D4255A" w:rsidRPr="00910468" w:rsidRDefault="00D4255A" w:rsidP="00DD1ABB">
      <w:pPr>
        <w:pStyle w:val="NormalWeb"/>
        <w:shd w:val="clear" w:color="auto" w:fill="FFFFFF"/>
        <w:spacing w:before="0" w:beforeAutospacing="0" w:after="0" w:afterAutospacing="0"/>
        <w:ind w:firstLine="720"/>
        <w:jc w:val="both"/>
        <w:rPr>
          <w:sz w:val="20"/>
          <w:szCs w:val="20"/>
          <w:shd w:val="clear" w:color="auto" w:fill="FFFFFF"/>
        </w:rPr>
      </w:pPr>
    </w:p>
    <w:p w:rsidR="00D4255A" w:rsidRPr="00910468" w:rsidRDefault="00D4255A" w:rsidP="00DD1ABB">
      <w:pPr>
        <w:pStyle w:val="NormalWeb"/>
        <w:shd w:val="clear" w:color="auto" w:fill="FFFFFF"/>
        <w:spacing w:before="0" w:beforeAutospacing="0" w:after="0" w:afterAutospacing="0"/>
        <w:ind w:firstLine="720"/>
        <w:jc w:val="both"/>
        <w:rPr>
          <w:sz w:val="20"/>
          <w:szCs w:val="20"/>
          <w:shd w:val="clear" w:color="auto" w:fill="FFFFFF"/>
        </w:rPr>
      </w:pPr>
    </w:p>
    <w:p w:rsidR="00D4255A" w:rsidRPr="00910468" w:rsidRDefault="00D4255A" w:rsidP="00DD1ABB">
      <w:pPr>
        <w:pStyle w:val="NormalWeb"/>
        <w:shd w:val="clear" w:color="auto" w:fill="FFFFFF"/>
        <w:spacing w:before="0" w:beforeAutospacing="0" w:after="0" w:afterAutospacing="0"/>
        <w:ind w:firstLine="720"/>
        <w:jc w:val="both"/>
        <w:rPr>
          <w:sz w:val="20"/>
          <w:szCs w:val="20"/>
          <w:shd w:val="clear" w:color="auto" w:fill="FFFFFF"/>
        </w:rPr>
      </w:pPr>
    </w:p>
    <w:p w:rsidR="00D4255A" w:rsidRPr="00910468" w:rsidRDefault="00D4255A" w:rsidP="00DD1ABB">
      <w:pPr>
        <w:pStyle w:val="NormalWeb"/>
        <w:shd w:val="clear" w:color="auto" w:fill="FFFFFF"/>
        <w:spacing w:before="0" w:beforeAutospacing="0" w:after="0" w:afterAutospacing="0"/>
        <w:ind w:firstLine="720"/>
        <w:jc w:val="both"/>
        <w:rPr>
          <w:sz w:val="20"/>
          <w:szCs w:val="20"/>
          <w:shd w:val="clear" w:color="auto" w:fill="FFFFFF"/>
        </w:rPr>
      </w:pPr>
    </w:p>
    <w:p w:rsidR="00D4255A" w:rsidRPr="00910468" w:rsidRDefault="00D4255A" w:rsidP="00DD1ABB">
      <w:pPr>
        <w:pStyle w:val="NormalWeb"/>
        <w:shd w:val="clear" w:color="auto" w:fill="FFFFFF"/>
        <w:spacing w:before="0" w:beforeAutospacing="0" w:after="0" w:afterAutospacing="0"/>
        <w:ind w:firstLine="720"/>
        <w:jc w:val="both"/>
        <w:rPr>
          <w:sz w:val="20"/>
          <w:szCs w:val="20"/>
          <w:shd w:val="clear" w:color="auto" w:fill="FFFFFF"/>
        </w:rPr>
      </w:pPr>
    </w:p>
    <w:p w:rsidR="00030E34" w:rsidRDefault="00CF45AC" w:rsidP="00DD1ABB">
      <w:pPr>
        <w:jc w:val="both"/>
      </w:pPr>
    </w:p>
    <w:sectPr w:rsidR="00030E34" w:rsidSect="00D4255A">
      <w:headerReference w:type="even" r:id="rId8"/>
      <w:headerReference w:type="default" r:id="rId9"/>
      <w:footerReference w:type="even" r:id="rId10"/>
      <w:footerReference w:type="default" r:id="rId11"/>
      <w:headerReference w:type="first" r:id="rId12"/>
      <w:footerReference w:type="first" r:id="rId13"/>
      <w:pgSz w:w="15840" w:h="12240" w:orient="landscape"/>
      <w:pgMar w:top="810" w:right="810" w:bottom="720" w:left="810" w:header="720" w:footer="259"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5AC" w:rsidRDefault="00CF45AC" w:rsidP="00D4255A">
      <w:r>
        <w:separator/>
      </w:r>
    </w:p>
  </w:endnote>
  <w:endnote w:type="continuationSeparator" w:id="0">
    <w:p w:rsidR="00CF45AC" w:rsidRDefault="00CF45AC" w:rsidP="00D4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98" w:rsidRDefault="00432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55A" w:rsidRPr="001E72CC" w:rsidRDefault="00423AFC" w:rsidP="00D4255A">
    <w:pPr>
      <w:pStyle w:val="Footer"/>
      <w:tabs>
        <w:tab w:val="left" w:pos="10980"/>
      </w:tabs>
      <w:rPr>
        <w:b/>
        <w:i/>
      </w:rPr>
    </w:pPr>
    <w:r>
      <w:rPr>
        <w:b/>
        <w:i/>
      </w:rPr>
      <w:t xml:space="preserve">                                               </w:t>
    </w:r>
    <w:r w:rsidR="00D4255A">
      <w:rPr>
        <w:b/>
        <w:i/>
      </w:rPr>
      <w:t xml:space="preserve">Chỉ đạo biên tập: </w:t>
    </w:r>
    <w:r w:rsidR="00432398">
      <w:rPr>
        <w:b/>
        <w:i/>
      </w:rPr>
      <w:t>Lê Ngọc Hà</w:t>
    </w:r>
    <w:r w:rsidR="00DD1ABB">
      <w:rPr>
        <w:b/>
        <w:i/>
      </w:rPr>
      <w:t xml:space="preserve">                                             </w:t>
    </w:r>
    <w:r>
      <w:rPr>
        <w:b/>
        <w:i/>
      </w:rPr>
      <w:t xml:space="preserve">                       </w:t>
    </w:r>
    <w:r w:rsidR="00DD1ABB">
      <w:rPr>
        <w:b/>
        <w:i/>
      </w:rPr>
      <w:t xml:space="preserve">     </w:t>
    </w:r>
    <w:r w:rsidR="00D4255A">
      <w:rPr>
        <w:b/>
        <w:i/>
      </w:rPr>
      <w:t>Biên tập:</w:t>
    </w:r>
    <w:r w:rsidR="00432398">
      <w:rPr>
        <w:b/>
        <w:i/>
      </w:rPr>
      <w:t xml:space="preserve"> Phan Thị Bích</w:t>
    </w:r>
    <w:bookmarkStart w:id="2" w:name="_GoBack"/>
    <w:bookmarkEnd w:id="2"/>
  </w:p>
  <w:p w:rsidR="00D4255A" w:rsidRDefault="00D425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98" w:rsidRDefault="00432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5AC" w:rsidRDefault="00CF45AC" w:rsidP="00D4255A">
      <w:r>
        <w:separator/>
      </w:r>
    </w:p>
  </w:footnote>
  <w:footnote w:type="continuationSeparator" w:id="0">
    <w:p w:rsidR="00CF45AC" w:rsidRDefault="00CF45AC" w:rsidP="00D42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98" w:rsidRDefault="00432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98" w:rsidRDefault="004323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98" w:rsidRDefault="00432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5A"/>
    <w:rsid w:val="00423AFC"/>
    <w:rsid w:val="0043124B"/>
    <w:rsid w:val="00432398"/>
    <w:rsid w:val="008053BD"/>
    <w:rsid w:val="008332B0"/>
    <w:rsid w:val="00B011CE"/>
    <w:rsid w:val="00CA60BF"/>
    <w:rsid w:val="00CF45AC"/>
    <w:rsid w:val="00D4255A"/>
    <w:rsid w:val="00DD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5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255A"/>
    <w:pPr>
      <w:keepNext/>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55A"/>
    <w:rPr>
      <w:rFonts w:ascii="Times New Roman" w:eastAsia="Times New Roman" w:hAnsi="Times New Roman" w:cs="Times New Roman"/>
      <w:b/>
      <w:bCs/>
      <w:sz w:val="26"/>
      <w:szCs w:val="26"/>
    </w:rPr>
  </w:style>
  <w:style w:type="paragraph" w:styleId="NormalWeb">
    <w:name w:val="Normal (Web)"/>
    <w:basedOn w:val="Normal"/>
    <w:uiPriority w:val="99"/>
    <w:rsid w:val="00D4255A"/>
    <w:pPr>
      <w:spacing w:before="100" w:beforeAutospacing="1" w:after="100" w:afterAutospacing="1"/>
    </w:pPr>
  </w:style>
  <w:style w:type="character" w:styleId="Strong">
    <w:name w:val="Strong"/>
    <w:uiPriority w:val="22"/>
    <w:qFormat/>
    <w:rsid w:val="00D4255A"/>
    <w:rPr>
      <w:b/>
      <w:bCs/>
    </w:rPr>
  </w:style>
  <w:style w:type="character" w:styleId="Hyperlink">
    <w:name w:val="Hyperlink"/>
    <w:rsid w:val="00D4255A"/>
    <w:rPr>
      <w:rFonts w:ascii="Arial" w:hAnsi="Arial" w:cs="Arial" w:hint="default"/>
      <w:color w:val="0000CC"/>
      <w:sz w:val="20"/>
      <w:szCs w:val="20"/>
      <w:u w:val="single"/>
    </w:rPr>
  </w:style>
  <w:style w:type="character" w:styleId="Emphasis">
    <w:name w:val="Emphasis"/>
    <w:uiPriority w:val="20"/>
    <w:qFormat/>
    <w:rsid w:val="00D4255A"/>
    <w:rPr>
      <w:i/>
      <w:iCs/>
    </w:rPr>
  </w:style>
  <w:style w:type="paragraph" w:styleId="BalloonText">
    <w:name w:val="Balloon Text"/>
    <w:basedOn w:val="Normal"/>
    <w:link w:val="BalloonTextChar"/>
    <w:uiPriority w:val="99"/>
    <w:semiHidden/>
    <w:unhideWhenUsed/>
    <w:rsid w:val="00D4255A"/>
    <w:rPr>
      <w:rFonts w:ascii="Tahoma" w:hAnsi="Tahoma" w:cs="Tahoma"/>
      <w:sz w:val="16"/>
      <w:szCs w:val="16"/>
    </w:rPr>
  </w:style>
  <w:style w:type="character" w:customStyle="1" w:styleId="BalloonTextChar">
    <w:name w:val="Balloon Text Char"/>
    <w:basedOn w:val="DefaultParagraphFont"/>
    <w:link w:val="BalloonText"/>
    <w:uiPriority w:val="99"/>
    <w:semiHidden/>
    <w:rsid w:val="00D4255A"/>
    <w:rPr>
      <w:rFonts w:ascii="Tahoma" w:eastAsia="Times New Roman" w:hAnsi="Tahoma" w:cs="Tahoma"/>
      <w:sz w:val="16"/>
      <w:szCs w:val="16"/>
    </w:rPr>
  </w:style>
  <w:style w:type="paragraph" w:styleId="Header">
    <w:name w:val="header"/>
    <w:basedOn w:val="Normal"/>
    <w:link w:val="HeaderChar"/>
    <w:uiPriority w:val="99"/>
    <w:unhideWhenUsed/>
    <w:rsid w:val="00D4255A"/>
    <w:pPr>
      <w:tabs>
        <w:tab w:val="center" w:pos="4680"/>
        <w:tab w:val="right" w:pos="9360"/>
      </w:tabs>
    </w:pPr>
  </w:style>
  <w:style w:type="character" w:customStyle="1" w:styleId="HeaderChar">
    <w:name w:val="Header Char"/>
    <w:basedOn w:val="DefaultParagraphFont"/>
    <w:link w:val="Header"/>
    <w:uiPriority w:val="99"/>
    <w:rsid w:val="00D4255A"/>
    <w:rPr>
      <w:rFonts w:ascii="Times New Roman" w:eastAsia="Times New Roman" w:hAnsi="Times New Roman" w:cs="Times New Roman"/>
      <w:sz w:val="24"/>
      <w:szCs w:val="24"/>
    </w:rPr>
  </w:style>
  <w:style w:type="paragraph" w:styleId="Footer">
    <w:name w:val="footer"/>
    <w:basedOn w:val="Normal"/>
    <w:link w:val="FooterChar"/>
    <w:unhideWhenUsed/>
    <w:rsid w:val="00D4255A"/>
    <w:pPr>
      <w:tabs>
        <w:tab w:val="center" w:pos="4680"/>
        <w:tab w:val="right" w:pos="9360"/>
      </w:tabs>
    </w:pPr>
  </w:style>
  <w:style w:type="character" w:customStyle="1" w:styleId="FooterChar">
    <w:name w:val="Footer Char"/>
    <w:basedOn w:val="DefaultParagraphFont"/>
    <w:link w:val="Footer"/>
    <w:uiPriority w:val="99"/>
    <w:rsid w:val="00D4255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5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255A"/>
    <w:pPr>
      <w:keepNext/>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55A"/>
    <w:rPr>
      <w:rFonts w:ascii="Times New Roman" w:eastAsia="Times New Roman" w:hAnsi="Times New Roman" w:cs="Times New Roman"/>
      <w:b/>
      <w:bCs/>
      <w:sz w:val="26"/>
      <w:szCs w:val="26"/>
    </w:rPr>
  </w:style>
  <w:style w:type="paragraph" w:styleId="NormalWeb">
    <w:name w:val="Normal (Web)"/>
    <w:basedOn w:val="Normal"/>
    <w:uiPriority w:val="99"/>
    <w:rsid w:val="00D4255A"/>
    <w:pPr>
      <w:spacing w:before="100" w:beforeAutospacing="1" w:after="100" w:afterAutospacing="1"/>
    </w:pPr>
  </w:style>
  <w:style w:type="character" w:styleId="Strong">
    <w:name w:val="Strong"/>
    <w:uiPriority w:val="22"/>
    <w:qFormat/>
    <w:rsid w:val="00D4255A"/>
    <w:rPr>
      <w:b/>
      <w:bCs/>
    </w:rPr>
  </w:style>
  <w:style w:type="character" w:styleId="Hyperlink">
    <w:name w:val="Hyperlink"/>
    <w:rsid w:val="00D4255A"/>
    <w:rPr>
      <w:rFonts w:ascii="Arial" w:hAnsi="Arial" w:cs="Arial" w:hint="default"/>
      <w:color w:val="0000CC"/>
      <w:sz w:val="20"/>
      <w:szCs w:val="20"/>
      <w:u w:val="single"/>
    </w:rPr>
  </w:style>
  <w:style w:type="character" w:styleId="Emphasis">
    <w:name w:val="Emphasis"/>
    <w:uiPriority w:val="20"/>
    <w:qFormat/>
    <w:rsid w:val="00D4255A"/>
    <w:rPr>
      <w:i/>
      <w:iCs/>
    </w:rPr>
  </w:style>
  <w:style w:type="paragraph" w:styleId="BalloonText">
    <w:name w:val="Balloon Text"/>
    <w:basedOn w:val="Normal"/>
    <w:link w:val="BalloonTextChar"/>
    <w:uiPriority w:val="99"/>
    <w:semiHidden/>
    <w:unhideWhenUsed/>
    <w:rsid w:val="00D4255A"/>
    <w:rPr>
      <w:rFonts w:ascii="Tahoma" w:hAnsi="Tahoma" w:cs="Tahoma"/>
      <w:sz w:val="16"/>
      <w:szCs w:val="16"/>
    </w:rPr>
  </w:style>
  <w:style w:type="character" w:customStyle="1" w:styleId="BalloonTextChar">
    <w:name w:val="Balloon Text Char"/>
    <w:basedOn w:val="DefaultParagraphFont"/>
    <w:link w:val="BalloonText"/>
    <w:uiPriority w:val="99"/>
    <w:semiHidden/>
    <w:rsid w:val="00D4255A"/>
    <w:rPr>
      <w:rFonts w:ascii="Tahoma" w:eastAsia="Times New Roman" w:hAnsi="Tahoma" w:cs="Tahoma"/>
      <w:sz w:val="16"/>
      <w:szCs w:val="16"/>
    </w:rPr>
  </w:style>
  <w:style w:type="paragraph" w:styleId="Header">
    <w:name w:val="header"/>
    <w:basedOn w:val="Normal"/>
    <w:link w:val="HeaderChar"/>
    <w:uiPriority w:val="99"/>
    <w:unhideWhenUsed/>
    <w:rsid w:val="00D4255A"/>
    <w:pPr>
      <w:tabs>
        <w:tab w:val="center" w:pos="4680"/>
        <w:tab w:val="right" w:pos="9360"/>
      </w:tabs>
    </w:pPr>
  </w:style>
  <w:style w:type="character" w:customStyle="1" w:styleId="HeaderChar">
    <w:name w:val="Header Char"/>
    <w:basedOn w:val="DefaultParagraphFont"/>
    <w:link w:val="Header"/>
    <w:uiPriority w:val="99"/>
    <w:rsid w:val="00D4255A"/>
    <w:rPr>
      <w:rFonts w:ascii="Times New Roman" w:eastAsia="Times New Roman" w:hAnsi="Times New Roman" w:cs="Times New Roman"/>
      <w:sz w:val="24"/>
      <w:szCs w:val="24"/>
    </w:rPr>
  </w:style>
  <w:style w:type="paragraph" w:styleId="Footer">
    <w:name w:val="footer"/>
    <w:basedOn w:val="Normal"/>
    <w:link w:val="FooterChar"/>
    <w:unhideWhenUsed/>
    <w:rsid w:val="00D4255A"/>
    <w:pPr>
      <w:tabs>
        <w:tab w:val="center" w:pos="4680"/>
        <w:tab w:val="right" w:pos="9360"/>
      </w:tabs>
    </w:pPr>
  </w:style>
  <w:style w:type="character" w:customStyle="1" w:styleId="FooterChar">
    <w:name w:val="Footer Char"/>
    <w:basedOn w:val="DefaultParagraphFont"/>
    <w:link w:val="Footer"/>
    <w:uiPriority w:val="99"/>
    <w:rsid w:val="00D425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computer</cp:lastModifiedBy>
  <cp:revision>5</cp:revision>
  <cp:lastPrinted>2022-10-05T03:26:00Z</cp:lastPrinted>
  <dcterms:created xsi:type="dcterms:W3CDTF">2022-10-05T03:26:00Z</dcterms:created>
  <dcterms:modified xsi:type="dcterms:W3CDTF">2023-12-30T07:41:00Z</dcterms:modified>
</cp:coreProperties>
</file>