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697"/>
        <w:gridCol w:w="2893"/>
      </w:tblGrid>
      <w:tr w:rsidR="009451F7" w:rsidRPr="00BF0086" w:rsidTr="009451F7">
        <w:tc>
          <w:tcPr>
            <w:tcW w:w="1697" w:type="dxa"/>
          </w:tcPr>
          <w:p w:rsidR="009451F7" w:rsidRPr="00BF0086" w:rsidRDefault="009451F7" w:rsidP="00A50F86">
            <w:pPr>
              <w:spacing w:after="0" w:line="240" w:lineRule="auto"/>
              <w:jc w:val="center"/>
              <w:rPr>
                <w:rFonts w:eastAsia="Times New Roman" w:cs="Times New Roman"/>
                <w:b/>
                <w:sz w:val="26"/>
                <w:szCs w:val="26"/>
              </w:rPr>
            </w:pPr>
          </w:p>
        </w:tc>
        <w:tc>
          <w:tcPr>
            <w:tcW w:w="2893" w:type="dxa"/>
          </w:tcPr>
          <w:p w:rsidR="009451F7" w:rsidRPr="00BF0086" w:rsidRDefault="009451F7" w:rsidP="00A50F86">
            <w:pPr>
              <w:tabs>
                <w:tab w:val="left" w:pos="2215"/>
                <w:tab w:val="center" w:pos="2849"/>
              </w:tabs>
              <w:spacing w:after="0" w:line="240" w:lineRule="auto"/>
              <w:jc w:val="center"/>
              <w:rPr>
                <w:rFonts w:eastAsia="Times New Roman" w:cs="Times New Roman"/>
                <w:b/>
                <w:szCs w:val="28"/>
              </w:rPr>
            </w:pPr>
          </w:p>
        </w:tc>
      </w:tr>
    </w:tbl>
    <w:p w:rsidR="009451F7" w:rsidRPr="009451F7" w:rsidRDefault="009451F7" w:rsidP="009451F7">
      <w:pPr>
        <w:pBdr>
          <w:top w:val="thinThickSmallGap" w:sz="24" w:space="1" w:color="auto"/>
          <w:left w:val="thinThickSmallGap" w:sz="24" w:space="1" w:color="auto"/>
          <w:bottom w:val="thickThinSmallGap" w:sz="24" w:space="31" w:color="auto"/>
          <w:right w:val="thickThinSmallGap" w:sz="24" w:space="0" w:color="auto"/>
        </w:pBdr>
        <w:spacing w:after="0" w:line="240" w:lineRule="auto"/>
        <w:jc w:val="center"/>
        <w:rPr>
          <w:rFonts w:ascii=".VnTimeH" w:eastAsia="Times New Roman" w:hAnsi=".VnTimeH" w:cs="Times New Roman"/>
          <w:b/>
          <w:spacing w:val="-8"/>
          <w:sz w:val="24"/>
          <w:szCs w:val="24"/>
        </w:rPr>
      </w:pPr>
    </w:p>
    <w:p w:rsidR="009451F7" w:rsidRPr="009451F7" w:rsidRDefault="007623EB" w:rsidP="009451F7">
      <w:pPr>
        <w:pBdr>
          <w:top w:val="thinThickSmallGap" w:sz="24" w:space="1" w:color="auto"/>
          <w:left w:val="thinThickSmallGap" w:sz="24" w:space="1" w:color="auto"/>
          <w:bottom w:val="thickThinSmallGap" w:sz="24" w:space="31" w:color="auto"/>
          <w:right w:val="thickThinSmallGap" w:sz="24" w:space="0" w:color="auto"/>
        </w:pBdr>
        <w:spacing w:after="0" w:line="240" w:lineRule="auto"/>
        <w:jc w:val="center"/>
        <w:rPr>
          <w:rFonts w:eastAsia="Times New Roman" w:cs="Times New Roman"/>
          <w:spacing w:val="-16"/>
          <w:szCs w:val="28"/>
        </w:rPr>
      </w:pPr>
      <w:r>
        <w:rPr>
          <w:rFonts w:eastAsia="Times New Roman" w:cs="Times New Roman"/>
          <w:spacing w:val="-16"/>
          <w:szCs w:val="28"/>
        </w:rPr>
        <w:t>UBND XÃ THẠCH CHÂU</w:t>
      </w:r>
    </w:p>
    <w:p w:rsidR="009451F7" w:rsidRPr="009451F7" w:rsidRDefault="009451F7" w:rsidP="009451F7">
      <w:pPr>
        <w:pBdr>
          <w:top w:val="thinThickSmallGap" w:sz="24" w:space="1" w:color="auto"/>
          <w:left w:val="thinThickSmallGap" w:sz="24" w:space="1" w:color="auto"/>
          <w:bottom w:val="thickThinSmallGap" w:sz="24" w:space="31" w:color="auto"/>
          <w:right w:val="thickThinSmallGap" w:sz="24" w:space="0" w:color="auto"/>
        </w:pBdr>
        <w:spacing w:after="0" w:line="240" w:lineRule="auto"/>
        <w:jc w:val="center"/>
        <w:rPr>
          <w:rFonts w:ascii=".VnTimeH" w:eastAsia="Times New Roman" w:hAnsi=".VnTimeH" w:cs="Times New Roman"/>
          <w:b/>
          <w:spacing w:val="-8"/>
          <w:sz w:val="24"/>
          <w:szCs w:val="24"/>
        </w:rPr>
      </w:pPr>
      <w:r w:rsidRPr="009451F7">
        <w:rPr>
          <w:rFonts w:eastAsia="Times New Roman" w:cs="Times New Roman"/>
          <w:noProof/>
          <w:sz w:val="24"/>
          <w:szCs w:val="24"/>
        </w:rPr>
        <mc:AlternateContent>
          <mc:Choice Requires="wps">
            <w:drawing>
              <wp:anchor distT="0" distB="0" distL="114300" distR="114300" simplePos="0" relativeHeight="251659264" behindDoc="0" locked="0" layoutInCell="1" allowOverlap="1" wp14:anchorId="6A9F7A53" wp14:editId="0324AFB4">
                <wp:simplePos x="0" y="0"/>
                <wp:positionH relativeFrom="column">
                  <wp:posOffset>977900</wp:posOffset>
                </wp:positionH>
                <wp:positionV relativeFrom="paragraph">
                  <wp:posOffset>28575</wp:posOffset>
                </wp:positionV>
                <wp:extent cx="978535" cy="0"/>
                <wp:effectExtent l="13970" t="10795" r="762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2.25pt" to="154.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zh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"/>
            </w:pict>
          </mc:Fallback>
        </mc:AlternateContent>
      </w:r>
      <w:r w:rsidRPr="009451F7">
        <w:rPr>
          <w:rFonts w:ascii=".VnTimeH" w:eastAsia="Times New Roman" w:hAnsi=".VnTimeH" w:cs="Times New Roman"/>
          <w:b/>
          <w:noProof/>
          <w:spacing w:val="-8"/>
          <w:sz w:val="24"/>
          <w:szCs w:val="24"/>
        </w:rPr>
        <mc:AlternateContent>
          <mc:Choice Requires="wps">
            <w:drawing>
              <wp:anchor distT="0" distB="0" distL="114300" distR="114300" simplePos="0" relativeHeight="251660288" behindDoc="0" locked="0" layoutInCell="1" allowOverlap="1" wp14:anchorId="31752EEF" wp14:editId="7796568C">
                <wp:simplePos x="0" y="0"/>
                <wp:positionH relativeFrom="column">
                  <wp:posOffset>685800</wp:posOffset>
                </wp:positionH>
                <wp:positionV relativeFrom="paragraph">
                  <wp:posOffset>142240</wp:posOffset>
                </wp:positionV>
                <wp:extent cx="1583690" cy="1156335"/>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1156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1F7" w:rsidRDefault="009451F7" w:rsidP="009451F7">
                            <w:r>
                              <w:rPr>
                                <w:rFonts w:ascii=".VnTimeH" w:hAnsi=".VnTimeH"/>
                                <w:noProof/>
                              </w:rPr>
                              <w:drawing>
                                <wp:inline distT="0" distB="0" distL="0" distR="0" wp14:anchorId="2D2CD5C2" wp14:editId="2C114A3F">
                                  <wp:extent cx="1063869" cy="810567"/>
                                  <wp:effectExtent l="0" t="0" r="3175" b="8890"/>
                                  <wp:docPr id="5" name="Picture 5" descr="LOGO Ban 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n T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812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pt;margin-top:11.2pt;width:124.7pt;height:91.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" stroked="f">
                <v:textbox style="mso-fit-shape-to-text:t">
                  <w:txbxContent>
                    <w:p w:rsidR="009451F7" w:rsidRDefault="009451F7" w:rsidP="009451F7">
                      <w:r>
                        <w:rPr>
                          <w:rFonts w:ascii=".VnTimeH" w:hAnsi=".VnTimeH"/>
                          <w:noProof/>
                        </w:rPr>
                        <w:drawing>
                          <wp:inline distT="0" distB="0" distL="0" distR="0" wp14:anchorId="2D2CD5C2" wp14:editId="2C114A3F">
                            <wp:extent cx="1063869" cy="810567"/>
                            <wp:effectExtent l="0" t="0" r="3175" b="8890"/>
                            <wp:docPr id="5" name="Picture 5" descr="LOGO Ban 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n T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812800"/>
                                    </a:xfrm>
                                    <a:prstGeom prst="rect">
                                      <a:avLst/>
                                    </a:prstGeom>
                                    <a:noFill/>
                                    <a:ln>
                                      <a:noFill/>
                                    </a:ln>
                                  </pic:spPr>
                                </pic:pic>
                              </a:graphicData>
                            </a:graphic>
                          </wp:inline>
                        </w:drawing>
                      </w:r>
                    </w:p>
                  </w:txbxContent>
                </v:textbox>
              </v:shape>
            </w:pict>
          </mc:Fallback>
        </mc:AlternateContent>
      </w:r>
    </w:p>
    <w:p w:rsidR="009451F7" w:rsidRPr="009451F7" w:rsidRDefault="009451F7" w:rsidP="009451F7">
      <w:pPr>
        <w:pBdr>
          <w:top w:val="thinThickSmallGap" w:sz="24" w:space="1" w:color="auto"/>
          <w:left w:val="thinThickSmallGap" w:sz="24" w:space="1" w:color="auto"/>
          <w:bottom w:val="thickThinSmallGap" w:sz="24" w:space="31" w:color="auto"/>
          <w:right w:val="thickThinSmallGap" w:sz="24" w:space="0" w:color="auto"/>
        </w:pBdr>
        <w:spacing w:after="0" w:line="240" w:lineRule="auto"/>
        <w:jc w:val="center"/>
        <w:rPr>
          <w:rFonts w:ascii=".VnTimeH" w:eastAsia="Times New Roman" w:hAnsi=".VnTimeH" w:cs="Times New Roman"/>
          <w:b/>
          <w:spacing w:val="-8"/>
          <w:sz w:val="24"/>
          <w:szCs w:val="24"/>
        </w:rPr>
      </w:pPr>
    </w:p>
    <w:p w:rsidR="009451F7" w:rsidRPr="009451F7" w:rsidRDefault="009451F7" w:rsidP="009451F7">
      <w:pPr>
        <w:pBdr>
          <w:top w:val="thinThickSmallGap" w:sz="24" w:space="1" w:color="auto"/>
          <w:left w:val="thinThickSmallGap" w:sz="24" w:space="1" w:color="auto"/>
          <w:bottom w:val="thickThinSmallGap" w:sz="24" w:space="31" w:color="auto"/>
          <w:right w:val="thickThinSmallGap" w:sz="24" w:space="0" w:color="auto"/>
        </w:pBdr>
        <w:spacing w:after="0" w:line="240" w:lineRule="auto"/>
        <w:jc w:val="center"/>
        <w:rPr>
          <w:rFonts w:ascii=".VnTimeH" w:eastAsia="Times New Roman" w:hAnsi=".VnTimeH" w:cs="Times New Roman"/>
          <w:b/>
          <w:spacing w:val="-8"/>
          <w:sz w:val="24"/>
          <w:szCs w:val="24"/>
        </w:rPr>
      </w:pPr>
    </w:p>
    <w:p w:rsidR="009451F7" w:rsidRPr="009451F7" w:rsidRDefault="009451F7" w:rsidP="009451F7">
      <w:pPr>
        <w:pBdr>
          <w:top w:val="thinThickSmallGap" w:sz="24" w:space="1" w:color="auto"/>
          <w:left w:val="thinThickSmallGap" w:sz="24" w:space="1" w:color="auto"/>
          <w:bottom w:val="thickThinSmallGap" w:sz="24" w:space="31" w:color="auto"/>
          <w:right w:val="thickThinSmallGap" w:sz="24" w:space="0" w:color="auto"/>
        </w:pBdr>
        <w:spacing w:after="0" w:line="240" w:lineRule="auto"/>
        <w:jc w:val="center"/>
        <w:rPr>
          <w:rFonts w:ascii=".VnTimeH" w:eastAsia="Times New Roman" w:hAnsi=".VnTimeH" w:cs="Times New Roman"/>
          <w:b/>
          <w:spacing w:val="-8"/>
          <w:sz w:val="24"/>
          <w:szCs w:val="24"/>
        </w:rPr>
      </w:pPr>
    </w:p>
    <w:p w:rsidR="009451F7" w:rsidRPr="009451F7" w:rsidRDefault="009451F7" w:rsidP="009451F7">
      <w:pPr>
        <w:pBdr>
          <w:top w:val="thinThickSmallGap" w:sz="24" w:space="1" w:color="auto"/>
          <w:left w:val="thinThickSmallGap" w:sz="24" w:space="1" w:color="auto"/>
          <w:bottom w:val="thickThinSmallGap" w:sz="24" w:space="31" w:color="auto"/>
          <w:right w:val="thickThinSmallGap" w:sz="24" w:space="0" w:color="auto"/>
        </w:pBdr>
        <w:spacing w:after="0" w:line="240" w:lineRule="auto"/>
        <w:jc w:val="center"/>
        <w:rPr>
          <w:rFonts w:ascii=".VnTimeH" w:eastAsia="Times New Roman" w:hAnsi=".VnTimeH" w:cs="Times New Roman"/>
          <w:b/>
          <w:spacing w:val="-8"/>
          <w:sz w:val="24"/>
          <w:szCs w:val="24"/>
        </w:rPr>
      </w:pPr>
    </w:p>
    <w:p w:rsidR="009451F7" w:rsidRDefault="009451F7" w:rsidP="009451F7">
      <w:pPr>
        <w:pBdr>
          <w:top w:val="thinThickSmallGap" w:sz="24" w:space="1" w:color="auto"/>
          <w:left w:val="thinThickSmallGap" w:sz="24" w:space="1" w:color="auto"/>
          <w:bottom w:val="thickThinSmallGap" w:sz="24" w:space="31" w:color="auto"/>
          <w:right w:val="thickThinSmallGap" w:sz="24" w:space="0" w:color="auto"/>
        </w:pBdr>
        <w:spacing w:after="0" w:line="240" w:lineRule="auto"/>
        <w:jc w:val="both"/>
        <w:rPr>
          <w:rFonts w:eastAsia="Times New Roman" w:cs="Times New Roman"/>
          <w:sz w:val="24"/>
          <w:szCs w:val="24"/>
        </w:rPr>
      </w:pPr>
    </w:p>
    <w:p w:rsidR="009451F7" w:rsidRDefault="009451F7" w:rsidP="009451F7">
      <w:pPr>
        <w:pBdr>
          <w:top w:val="thinThickSmallGap" w:sz="24" w:space="1" w:color="auto"/>
          <w:left w:val="thinThickSmallGap" w:sz="24" w:space="1" w:color="auto"/>
          <w:bottom w:val="thickThinSmallGap" w:sz="24" w:space="31" w:color="auto"/>
          <w:right w:val="thickThinSmallGap" w:sz="24" w:space="0" w:color="auto"/>
        </w:pBdr>
        <w:spacing w:after="0" w:line="240" w:lineRule="auto"/>
        <w:jc w:val="both"/>
        <w:rPr>
          <w:rFonts w:eastAsia="Times New Roman" w:cs="Times New Roman"/>
          <w:sz w:val="24"/>
          <w:szCs w:val="24"/>
        </w:rPr>
      </w:pPr>
    </w:p>
    <w:p w:rsidR="009451F7" w:rsidRPr="009451F7" w:rsidRDefault="009451F7" w:rsidP="009451F7">
      <w:pPr>
        <w:pBdr>
          <w:top w:val="thinThickSmallGap" w:sz="24" w:space="1" w:color="auto"/>
          <w:left w:val="thinThickSmallGap" w:sz="24" w:space="1" w:color="auto"/>
          <w:bottom w:val="thickThinSmallGap" w:sz="24" w:space="31" w:color="auto"/>
          <w:right w:val="thickThinSmallGap" w:sz="24" w:space="0" w:color="auto"/>
        </w:pBdr>
        <w:spacing w:after="0" w:line="240" w:lineRule="auto"/>
        <w:jc w:val="center"/>
        <w:rPr>
          <w:rFonts w:eastAsia="Times New Roman" w:cs="Times New Roman"/>
          <w:b/>
          <w:sz w:val="24"/>
          <w:szCs w:val="24"/>
        </w:rPr>
      </w:pPr>
      <w:r w:rsidRPr="009451F7">
        <w:rPr>
          <w:rFonts w:eastAsia="Times New Roman" w:cs="Times New Roman"/>
          <w:b/>
          <w:sz w:val="24"/>
          <w:szCs w:val="24"/>
        </w:rPr>
        <w:t>TỔNG HỢP CÁC MỨC PHẠT VI PHẠM HÀNH CH</w:t>
      </w:r>
      <w:r w:rsidR="007623EB">
        <w:rPr>
          <w:rFonts w:eastAsia="Times New Roman" w:cs="Times New Roman"/>
          <w:b/>
          <w:sz w:val="24"/>
          <w:szCs w:val="24"/>
        </w:rPr>
        <w:t>ÍNH VỀ NGHĨA VỤ QUÂN SỰ NĂM 2023</w:t>
      </w:r>
      <w:bookmarkStart w:id="0" w:name="_GoBack"/>
      <w:bookmarkEnd w:id="0"/>
    </w:p>
    <w:p w:rsidR="009451F7" w:rsidRPr="00A35E40" w:rsidRDefault="009451F7" w:rsidP="009451F7">
      <w:pPr>
        <w:shd w:val="clear" w:color="auto" w:fill="FFFFFF"/>
        <w:spacing w:before="300" w:after="150" w:line="240" w:lineRule="auto"/>
        <w:jc w:val="both"/>
        <w:outlineLvl w:val="1"/>
        <w:rPr>
          <w:rFonts w:eastAsia="Times New Roman" w:cs="Times New Roman"/>
          <w:color w:val="333333"/>
          <w:szCs w:val="28"/>
        </w:rPr>
      </w:pPr>
      <w:r w:rsidRPr="00A35E40">
        <w:rPr>
          <w:rFonts w:eastAsia="Times New Roman" w:cs="Times New Roman"/>
          <w:b/>
          <w:bCs/>
          <w:color w:val="333333"/>
          <w:szCs w:val="28"/>
        </w:rPr>
        <w:t xml:space="preserve">1. Xử phạt </w:t>
      </w:r>
      <w:proofErr w:type="gramStart"/>
      <w:r w:rsidRPr="00A35E40">
        <w:rPr>
          <w:rFonts w:eastAsia="Times New Roman" w:cs="Times New Roman"/>
          <w:b/>
          <w:bCs/>
          <w:color w:val="333333"/>
          <w:szCs w:val="28"/>
        </w:rPr>
        <w:t>vi</w:t>
      </w:r>
      <w:proofErr w:type="gramEnd"/>
      <w:r w:rsidRPr="00A35E40">
        <w:rPr>
          <w:rFonts w:eastAsia="Times New Roman" w:cs="Times New Roman"/>
          <w:b/>
          <w:bCs/>
          <w:color w:val="333333"/>
          <w:szCs w:val="28"/>
        </w:rPr>
        <w:t xml:space="preserve"> phạm hành chính về nghĩa vụ quân sự</w:t>
      </w:r>
    </w:p>
    <w:p w:rsidR="009451F7" w:rsidRPr="00A35E40" w:rsidRDefault="009451F7" w:rsidP="009451F7">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Chương 2 </w:t>
      </w:r>
      <w:hyperlink r:id="rId7" w:tgtFrame="_blank" w:history="1">
        <w:r w:rsidRPr="00A35E40">
          <w:rPr>
            <w:rFonts w:eastAsia="Times New Roman" w:cs="Times New Roman"/>
            <w:color w:val="0000FF"/>
            <w:szCs w:val="28"/>
            <w:u w:val="single"/>
          </w:rPr>
          <w:t>Nghị định 120/2013/NĐ-CP</w:t>
        </w:r>
      </w:hyperlink>
      <w:r w:rsidRPr="00A35E40">
        <w:rPr>
          <w:rFonts w:eastAsia="Times New Roman" w:cs="Times New Roman"/>
          <w:color w:val="333333"/>
          <w:szCs w:val="28"/>
        </w:rPr>
        <w:t> (sửa đổi bởi Điều 1 </w:t>
      </w:r>
      <w:hyperlink r:id="rId8" w:tgtFrame="_blank" w:history="1">
        <w:r w:rsidRPr="00A35E40">
          <w:rPr>
            <w:rFonts w:eastAsia="Times New Roman" w:cs="Times New Roman"/>
            <w:color w:val="0000FF"/>
            <w:szCs w:val="28"/>
            <w:u w:val="single"/>
          </w:rPr>
          <w:t>Nghị định 37/2022/NĐ-CP</w:t>
        </w:r>
      </w:hyperlink>
      <w:r w:rsidRPr="00A35E40">
        <w:rPr>
          <w:rFonts w:eastAsia="Times New Roman" w:cs="Times New Roman"/>
          <w:color w:val="333333"/>
          <w:szCs w:val="28"/>
        </w:rPr>
        <w:t>) quy định xử phạt vi phạm hành chính trong lĩnh vực quốc phòng; cơ yếu; trong đó, các hành vi vi phạm liên quan đến nghĩa vụ quân sự được quy định cụ thể như sau:</w:t>
      </w:r>
    </w:p>
    <w:p w:rsidR="009451F7" w:rsidRPr="00A35E40" w:rsidRDefault="009451F7" w:rsidP="009451F7">
      <w:pPr>
        <w:shd w:val="clear" w:color="auto" w:fill="FFFFFF"/>
        <w:spacing w:before="300" w:after="150" w:line="240" w:lineRule="auto"/>
        <w:jc w:val="both"/>
        <w:outlineLvl w:val="2"/>
        <w:rPr>
          <w:rFonts w:eastAsia="Times New Roman" w:cs="Times New Roman"/>
          <w:color w:val="333333"/>
          <w:szCs w:val="28"/>
        </w:rPr>
      </w:pPr>
      <w:proofErr w:type="gramStart"/>
      <w:r w:rsidRPr="00A35E40">
        <w:rPr>
          <w:rFonts w:eastAsia="Times New Roman" w:cs="Times New Roman"/>
          <w:b/>
          <w:bCs/>
          <w:i/>
          <w:iCs/>
          <w:color w:val="333333"/>
          <w:szCs w:val="28"/>
        </w:rPr>
        <w:t>1.1 Vi</w:t>
      </w:r>
      <w:proofErr w:type="gramEnd"/>
      <w:r w:rsidRPr="00A35E40">
        <w:rPr>
          <w:rFonts w:eastAsia="Times New Roman" w:cs="Times New Roman"/>
          <w:b/>
          <w:bCs/>
          <w:i/>
          <w:iCs/>
          <w:color w:val="333333"/>
          <w:szCs w:val="28"/>
        </w:rPr>
        <w:t xml:space="preserve"> phạm về đăng ký nghĩa vụ quân sự</w:t>
      </w:r>
    </w:p>
    <w:p w:rsidR="009451F7" w:rsidRPr="00A35E40" w:rsidRDefault="009451F7" w:rsidP="009451F7">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lastRenderedPageBreak/>
        <w:t>Theo khoản 2, 3 Điều 4 </w:t>
      </w:r>
      <w:hyperlink r:id="rId9" w:tgtFrame="_blank" w:history="1">
        <w:r w:rsidRPr="00A35E40">
          <w:rPr>
            <w:rFonts w:eastAsia="Times New Roman" w:cs="Times New Roman"/>
            <w:color w:val="0000FF"/>
            <w:szCs w:val="28"/>
            <w:u w:val="single"/>
          </w:rPr>
          <w:t>Nghị định 120/2013/NĐ-CP</w:t>
        </w:r>
      </w:hyperlink>
      <w:r w:rsidRPr="00A35E40">
        <w:rPr>
          <w:rFonts w:eastAsia="Times New Roman" w:cs="Times New Roman"/>
          <w:color w:val="333333"/>
          <w:szCs w:val="28"/>
        </w:rPr>
        <w:t> (sửa đổi bởi khoản 7 Điều 1 </w:t>
      </w:r>
      <w:hyperlink r:id="rId10" w:tgtFrame="_blank" w:history="1">
        <w:r w:rsidRPr="00A35E40">
          <w:rPr>
            <w:rFonts w:eastAsia="Times New Roman" w:cs="Times New Roman"/>
            <w:color w:val="0000FF"/>
            <w:szCs w:val="28"/>
            <w:u w:val="single"/>
          </w:rPr>
          <w:t>Nghị định 37/2022/NĐ-CP</w:t>
        </w:r>
      </w:hyperlink>
      <w:r w:rsidRPr="00A35E40">
        <w:rPr>
          <w:rFonts w:eastAsia="Times New Roman" w:cs="Times New Roman"/>
          <w:color w:val="333333"/>
          <w:szCs w:val="28"/>
        </w:rPr>
        <w:t>), xử phạt vi phạm đăng ký nghĩa vụ quân sự được quy định như sau</w:t>
      </w:r>
    </w:p>
    <w:p w:rsidR="009451F7" w:rsidRPr="00A35E40" w:rsidRDefault="009451F7" w:rsidP="009451F7">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Phạt cảnh cáo đối với công dân nam đủ 17 tuổi trong năm thuộc diện phải đăng ký nghĩa vụ quân sự nhưng không đăng ký nghĩa vụ quân sự lần đầu;</w:t>
      </w:r>
    </w:p>
    <w:p w:rsidR="009451F7" w:rsidRPr="00A35E40" w:rsidRDefault="009451F7" w:rsidP="009451F7">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Phạt tiền từ 8.000.000 đồng đến 10.000.000 đồng đối với:</w:t>
      </w:r>
    </w:p>
    <w:p w:rsidR="009451F7" w:rsidRPr="00A35E40" w:rsidRDefault="009451F7" w:rsidP="009451F7">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Không đăng ký nghĩa vụ quân sự lần đầu, trừ trường hợp đã phạt cảnh cáo nêu trên;</w:t>
      </w:r>
    </w:p>
    <w:p w:rsidR="009451F7" w:rsidRPr="00A35E40" w:rsidRDefault="009451F7" w:rsidP="009451F7">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Không thực hiện đăng ký phục vụ trong ngạch dự bị </w:t>
      </w:r>
      <w:proofErr w:type="gramStart"/>
      <w:r w:rsidRPr="00A35E40">
        <w:rPr>
          <w:rFonts w:eastAsia="Times New Roman" w:cs="Times New Roman"/>
          <w:color w:val="333333"/>
          <w:szCs w:val="28"/>
        </w:rPr>
        <w:t>theo</w:t>
      </w:r>
      <w:proofErr w:type="gramEnd"/>
      <w:r w:rsidRPr="00A35E40">
        <w:rPr>
          <w:rFonts w:eastAsia="Times New Roman" w:cs="Times New Roman"/>
          <w:color w:val="333333"/>
          <w:szCs w:val="28"/>
        </w:rPr>
        <w:t xml:space="preserve"> quy định;</w:t>
      </w:r>
    </w:p>
    <w:p w:rsidR="009451F7" w:rsidRPr="00A35E40" w:rsidRDefault="009451F7" w:rsidP="009451F7">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Không đăng ký nghĩa vụ quân sự bổ sung khi có sự thay đổi về chức vụ công tác, trình độ học vấn, trình độ chuyên môn, tình trạng sức khỏe và thông tin khác có liên quan đến nghĩa vụ quân sự theo quy định;</w:t>
      </w:r>
    </w:p>
    <w:p w:rsidR="009451F7" w:rsidRPr="00A35E40" w:rsidRDefault="009451F7" w:rsidP="009451F7">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Không thực hiện đăng ký nghĩa vụ quân sự khi thay đổi nơi cư trú hoặc nơi làm việc, học tập </w:t>
      </w:r>
      <w:proofErr w:type="gramStart"/>
      <w:r w:rsidRPr="00A35E40">
        <w:rPr>
          <w:rFonts w:eastAsia="Times New Roman" w:cs="Times New Roman"/>
          <w:color w:val="333333"/>
          <w:szCs w:val="28"/>
        </w:rPr>
        <w:t>theo</w:t>
      </w:r>
      <w:proofErr w:type="gramEnd"/>
      <w:r w:rsidRPr="00A35E40">
        <w:rPr>
          <w:rFonts w:eastAsia="Times New Roman" w:cs="Times New Roman"/>
          <w:color w:val="333333"/>
          <w:szCs w:val="28"/>
        </w:rPr>
        <w:t xml:space="preserve"> quy định;</w:t>
      </w:r>
    </w:p>
    <w:p w:rsidR="009451F7" w:rsidRPr="00A35E40" w:rsidRDefault="009451F7" w:rsidP="009451F7">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lastRenderedPageBreak/>
        <w:t xml:space="preserve">+ Không thực hiện đăng ký nghĩa vụ quân sự tạm vắng </w:t>
      </w:r>
      <w:proofErr w:type="gramStart"/>
      <w:r w:rsidRPr="00A35E40">
        <w:rPr>
          <w:rFonts w:eastAsia="Times New Roman" w:cs="Times New Roman"/>
          <w:color w:val="333333"/>
          <w:szCs w:val="28"/>
        </w:rPr>
        <w:t>theo</w:t>
      </w:r>
      <w:proofErr w:type="gramEnd"/>
      <w:r w:rsidRPr="00A35E40">
        <w:rPr>
          <w:rFonts w:eastAsia="Times New Roman" w:cs="Times New Roman"/>
          <w:color w:val="333333"/>
          <w:szCs w:val="28"/>
        </w:rPr>
        <w:t xml:space="preserve"> quy định.</w:t>
      </w:r>
    </w:p>
    <w:p w:rsidR="009451F7" w:rsidRPr="00A35E40" w:rsidRDefault="009451F7" w:rsidP="009451F7">
      <w:pPr>
        <w:shd w:val="clear" w:color="auto" w:fill="FFFFFF"/>
        <w:spacing w:before="300" w:after="150" w:line="240" w:lineRule="auto"/>
        <w:jc w:val="both"/>
        <w:outlineLvl w:val="2"/>
        <w:rPr>
          <w:rFonts w:eastAsia="Times New Roman" w:cs="Times New Roman"/>
          <w:color w:val="333333"/>
          <w:szCs w:val="28"/>
        </w:rPr>
      </w:pPr>
      <w:proofErr w:type="gramStart"/>
      <w:r w:rsidRPr="00A35E40">
        <w:rPr>
          <w:rFonts w:eastAsia="Times New Roman" w:cs="Times New Roman"/>
          <w:b/>
          <w:bCs/>
          <w:i/>
          <w:iCs/>
          <w:color w:val="333333"/>
          <w:szCs w:val="28"/>
        </w:rPr>
        <w:t>1.2 Vi</w:t>
      </w:r>
      <w:proofErr w:type="gramEnd"/>
      <w:r w:rsidRPr="00A35E40">
        <w:rPr>
          <w:rFonts w:eastAsia="Times New Roman" w:cs="Times New Roman"/>
          <w:b/>
          <w:bCs/>
          <w:i/>
          <w:iCs/>
          <w:color w:val="333333"/>
          <w:szCs w:val="28"/>
        </w:rPr>
        <w:t xml:space="preserve"> phạm về kiểm tra, khám sức khỏe thực hiện nghĩa vụ quân sự</w:t>
      </w:r>
    </w:p>
    <w:p w:rsidR="009451F7" w:rsidRPr="00A35E40" w:rsidRDefault="009451F7" w:rsidP="009451F7">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Căn cứ Điều 6 </w:t>
      </w:r>
      <w:hyperlink r:id="rId11" w:tgtFrame="_blank" w:history="1">
        <w:r w:rsidRPr="00A35E40">
          <w:rPr>
            <w:rFonts w:eastAsia="Times New Roman" w:cs="Times New Roman"/>
            <w:color w:val="0000FF"/>
            <w:szCs w:val="28"/>
            <w:u w:val="single"/>
          </w:rPr>
          <w:t>Nghị định 120/2013/NĐ-CP</w:t>
        </w:r>
      </w:hyperlink>
      <w:r w:rsidRPr="00A35E40">
        <w:rPr>
          <w:rFonts w:eastAsia="Times New Roman" w:cs="Times New Roman"/>
          <w:color w:val="333333"/>
          <w:szCs w:val="28"/>
        </w:rPr>
        <w:t> (sửa đổi bởi khoản 8 Điều 1 </w:t>
      </w:r>
      <w:hyperlink r:id="rId12" w:tgtFrame="_blank" w:history="1">
        <w:r w:rsidRPr="00A35E40">
          <w:rPr>
            <w:rFonts w:eastAsia="Times New Roman" w:cs="Times New Roman"/>
            <w:color w:val="0000FF"/>
            <w:szCs w:val="28"/>
            <w:u w:val="single"/>
          </w:rPr>
          <w:t>Nghị định 37/2022/NĐ-CP</w:t>
        </w:r>
      </w:hyperlink>
      <w:r w:rsidRPr="00A35E40">
        <w:rPr>
          <w:rFonts w:eastAsia="Times New Roman" w:cs="Times New Roman"/>
          <w:color w:val="333333"/>
          <w:szCs w:val="28"/>
        </w:rPr>
        <w:t>), vi phạm về kiểm tra, khám sức khỏe thực hiện nghĩa vụ quân sự xử lý như sau:</w:t>
      </w:r>
    </w:p>
    <w:p w:rsidR="009451F7" w:rsidRPr="00A35E40" w:rsidRDefault="009451F7" w:rsidP="009451F7">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Phạt tiền từ 10.000.000 đồng đến 12.000.000 đồng đối với hành vi không có mặt đúng thời gian hoặc địa điểm kiểm tra, khám sức khỏe ghi trong lệnh gọi kiểm tra hoặc khám sức khỏe nghĩa vụ quân sự của Chỉ huy trưởng Ban Chỉ huy quân sự cấp huyện theo quy định của </w:t>
      </w:r>
      <w:hyperlink r:id="rId13" w:tgtFrame="_blank" w:history="1">
        <w:r w:rsidRPr="00A35E40">
          <w:rPr>
            <w:rFonts w:eastAsia="Times New Roman" w:cs="Times New Roman"/>
            <w:color w:val="0000FF"/>
            <w:szCs w:val="28"/>
            <w:u w:val="single"/>
          </w:rPr>
          <w:t>Luật Nghĩa vụ quân sự</w:t>
        </w:r>
      </w:hyperlink>
      <w:r w:rsidRPr="00A35E40">
        <w:rPr>
          <w:rFonts w:eastAsia="Times New Roman" w:cs="Times New Roman"/>
          <w:color w:val="333333"/>
          <w:szCs w:val="28"/>
        </w:rPr>
        <w:t> mà không có lý do chính đáng.</w:t>
      </w:r>
    </w:p>
    <w:p w:rsidR="009451F7" w:rsidRPr="00A35E40" w:rsidRDefault="009451F7" w:rsidP="009451F7">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Phạt tiền từ 12.000.000 đồng đến 15.000.000 đồng đối với hành vi cố ý không nhận lệnh gọi kiểm tra, khám sức khỏe nghĩa vụ quân sự của Chỉ huy trưởng Ban Chỉ huy quân sự cấp huyện theo quy định của </w:t>
      </w:r>
      <w:hyperlink r:id="rId14" w:tgtFrame="_blank" w:history="1">
        <w:r w:rsidRPr="00A35E40">
          <w:rPr>
            <w:rFonts w:eastAsia="Times New Roman" w:cs="Times New Roman"/>
            <w:color w:val="0000FF"/>
            <w:szCs w:val="28"/>
            <w:u w:val="single"/>
          </w:rPr>
          <w:t xml:space="preserve">Luật Nghĩa </w:t>
        </w:r>
        <w:r w:rsidRPr="00A35E40">
          <w:rPr>
            <w:rFonts w:eastAsia="Times New Roman" w:cs="Times New Roman"/>
            <w:color w:val="0000FF"/>
            <w:szCs w:val="28"/>
            <w:u w:val="single"/>
          </w:rPr>
          <w:lastRenderedPageBreak/>
          <w:t>vụ quân sự</w:t>
        </w:r>
      </w:hyperlink>
      <w:r w:rsidRPr="00A35E40">
        <w:rPr>
          <w:rFonts w:eastAsia="Times New Roman" w:cs="Times New Roman"/>
          <w:color w:val="333333"/>
          <w:szCs w:val="28"/>
        </w:rPr>
        <w:t> mà không có lý do chính đáng.</w:t>
      </w:r>
    </w:p>
    <w:p w:rsidR="009451F7" w:rsidRPr="00A35E40" w:rsidRDefault="009451F7" w:rsidP="009451F7">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Phạt tiền từ 15.000.000 đồng đến 20.000.000 đồng đối với một trong các hành </w:t>
      </w:r>
      <w:proofErr w:type="gramStart"/>
      <w:r w:rsidRPr="00A35E40">
        <w:rPr>
          <w:rFonts w:eastAsia="Times New Roman" w:cs="Times New Roman"/>
          <w:color w:val="333333"/>
          <w:szCs w:val="28"/>
        </w:rPr>
        <w:t>vi</w:t>
      </w:r>
      <w:proofErr w:type="gramEnd"/>
      <w:r w:rsidRPr="00A35E40">
        <w:rPr>
          <w:rFonts w:eastAsia="Times New Roman" w:cs="Times New Roman"/>
          <w:color w:val="333333"/>
          <w:szCs w:val="28"/>
        </w:rPr>
        <w:t xml:space="preserve"> sau:</w:t>
      </w:r>
    </w:p>
    <w:p w:rsidR="009451F7" w:rsidRPr="00A35E40" w:rsidRDefault="009451F7" w:rsidP="009451F7">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Người được khám sức khỏe có hành </w:t>
      </w:r>
      <w:proofErr w:type="gramStart"/>
      <w:r w:rsidRPr="00A35E40">
        <w:rPr>
          <w:rFonts w:eastAsia="Times New Roman" w:cs="Times New Roman"/>
          <w:color w:val="333333"/>
          <w:szCs w:val="28"/>
        </w:rPr>
        <w:t>vi</w:t>
      </w:r>
      <w:proofErr w:type="gramEnd"/>
      <w:r w:rsidRPr="00A35E40">
        <w:rPr>
          <w:rFonts w:eastAsia="Times New Roman" w:cs="Times New Roman"/>
          <w:color w:val="333333"/>
          <w:szCs w:val="28"/>
        </w:rPr>
        <w:t xml:space="preserve"> gian dối làm sai lệch kết quả phân loại sức khỏe của mình nhằm trốn tránh nghĩa vụ quân sự;</w:t>
      </w:r>
    </w:p>
    <w:p w:rsidR="009451F7" w:rsidRPr="00A35E40" w:rsidRDefault="009451F7" w:rsidP="009451F7">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Đưa tiền, tài sản, hoặc lợi ích vật chất khác trị giá đến dưới 2.000.000 đồng cho cán bộ, nhân viên y tế hoặc người khác để làm sai lệch kết quả phân loại sức khỏe của người được kiểm tra hoặc người được khám sức khỏe nghĩa vụ quân sự nhằm trốn tránh nghĩa vụ quân sự.</w:t>
      </w:r>
    </w:p>
    <w:p w:rsidR="009451F7" w:rsidRPr="00A35E40" w:rsidRDefault="009451F7" w:rsidP="009451F7">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Phạt tiền từ 25.000.000 đồng đến 35.000.000 đồng đối với hành </w:t>
      </w:r>
      <w:proofErr w:type="gramStart"/>
      <w:r w:rsidRPr="00A35E40">
        <w:rPr>
          <w:rFonts w:eastAsia="Times New Roman" w:cs="Times New Roman"/>
          <w:color w:val="333333"/>
          <w:szCs w:val="28"/>
        </w:rPr>
        <w:t>vi</w:t>
      </w:r>
      <w:proofErr w:type="gramEnd"/>
      <w:r w:rsidRPr="00A35E40">
        <w:rPr>
          <w:rFonts w:eastAsia="Times New Roman" w:cs="Times New Roman"/>
          <w:color w:val="333333"/>
          <w:szCs w:val="28"/>
        </w:rPr>
        <w:t xml:space="preserve"> không chấp hành lệnh gọi kiểm tra, khám sức khỏe nghĩa vụ quân sự.</w:t>
      </w:r>
    </w:p>
    <w:p w:rsidR="009451F7" w:rsidRPr="00A35E40" w:rsidRDefault="009451F7" w:rsidP="009451F7">
      <w:pPr>
        <w:shd w:val="clear" w:color="auto" w:fill="FFFFFF"/>
        <w:spacing w:before="300" w:after="150" w:line="240" w:lineRule="auto"/>
        <w:jc w:val="both"/>
        <w:outlineLvl w:val="2"/>
        <w:rPr>
          <w:rFonts w:eastAsia="Times New Roman" w:cs="Times New Roman"/>
          <w:color w:val="333333"/>
          <w:szCs w:val="28"/>
        </w:rPr>
      </w:pPr>
      <w:r w:rsidRPr="00A35E40">
        <w:rPr>
          <w:rFonts w:eastAsia="Times New Roman" w:cs="Times New Roman"/>
          <w:b/>
          <w:bCs/>
          <w:i/>
          <w:iCs/>
          <w:color w:val="333333"/>
          <w:szCs w:val="28"/>
        </w:rPr>
        <w:t xml:space="preserve">1.3 Vi phạm quy định về nhập </w:t>
      </w:r>
      <w:proofErr w:type="gramStart"/>
      <w:r w:rsidRPr="00A35E40">
        <w:rPr>
          <w:rFonts w:eastAsia="Times New Roman" w:cs="Times New Roman"/>
          <w:b/>
          <w:bCs/>
          <w:i/>
          <w:iCs/>
          <w:color w:val="333333"/>
          <w:szCs w:val="28"/>
        </w:rPr>
        <w:t>ngũ</w:t>
      </w:r>
      <w:proofErr w:type="gramEnd"/>
    </w:p>
    <w:p w:rsidR="009451F7" w:rsidRPr="00A35E40" w:rsidRDefault="009451F7" w:rsidP="009451F7">
      <w:pPr>
        <w:shd w:val="clear" w:color="auto" w:fill="FFFFFF"/>
        <w:spacing w:after="150" w:line="240" w:lineRule="auto"/>
        <w:jc w:val="both"/>
        <w:rPr>
          <w:rFonts w:eastAsia="Times New Roman" w:cs="Times New Roman"/>
          <w:color w:val="333333"/>
          <w:szCs w:val="28"/>
        </w:rPr>
      </w:pPr>
      <w:proofErr w:type="gramStart"/>
      <w:r w:rsidRPr="00A35E40">
        <w:rPr>
          <w:rFonts w:eastAsia="Times New Roman" w:cs="Times New Roman"/>
          <w:color w:val="333333"/>
          <w:szCs w:val="28"/>
        </w:rPr>
        <w:t>Vi</w:t>
      </w:r>
      <w:proofErr w:type="gramEnd"/>
      <w:r w:rsidRPr="00A35E40">
        <w:rPr>
          <w:rFonts w:eastAsia="Times New Roman" w:cs="Times New Roman"/>
          <w:color w:val="333333"/>
          <w:szCs w:val="28"/>
        </w:rPr>
        <w:t xml:space="preserve"> phạm quy định về nhập ngũ xử lý theo quy định tại khoản 9 Điều 1 </w:t>
      </w:r>
      <w:hyperlink r:id="rId15" w:tgtFrame="_blank" w:history="1">
        <w:r w:rsidRPr="00A35E40">
          <w:rPr>
            <w:rFonts w:eastAsia="Times New Roman" w:cs="Times New Roman"/>
            <w:color w:val="0000FF"/>
            <w:szCs w:val="28"/>
            <w:u w:val="single"/>
          </w:rPr>
          <w:t xml:space="preserve">Nghị </w:t>
        </w:r>
        <w:r w:rsidRPr="00A35E40">
          <w:rPr>
            <w:rFonts w:eastAsia="Times New Roman" w:cs="Times New Roman"/>
            <w:color w:val="0000FF"/>
            <w:szCs w:val="28"/>
            <w:u w:val="single"/>
          </w:rPr>
          <w:lastRenderedPageBreak/>
          <w:t>định 37/2022/NĐ-CP</w:t>
        </w:r>
      </w:hyperlink>
      <w:r w:rsidRPr="00A35E40">
        <w:rPr>
          <w:rFonts w:eastAsia="Times New Roman" w:cs="Times New Roman"/>
          <w:color w:val="333333"/>
          <w:szCs w:val="28"/>
        </w:rPr>
        <w:t> sửa đổi Điều 7 </w:t>
      </w:r>
      <w:hyperlink r:id="rId16" w:tgtFrame="_blank" w:history="1">
        <w:r w:rsidRPr="00A35E40">
          <w:rPr>
            <w:rFonts w:eastAsia="Times New Roman" w:cs="Times New Roman"/>
            <w:color w:val="0000FF"/>
            <w:szCs w:val="28"/>
            <w:u w:val="single"/>
          </w:rPr>
          <w:t>Nghị định 120/2013/NĐ-CP</w:t>
        </w:r>
      </w:hyperlink>
      <w:r w:rsidRPr="00A35E40">
        <w:rPr>
          <w:rFonts w:eastAsia="Times New Roman" w:cs="Times New Roman"/>
          <w:color w:val="333333"/>
          <w:szCs w:val="28"/>
        </w:rPr>
        <w:t>, cụ thể:</w:t>
      </w:r>
    </w:p>
    <w:p w:rsidR="009451F7" w:rsidRPr="00A35E40" w:rsidRDefault="009451F7" w:rsidP="009451F7">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Phạt tiền từ 30.000.000 đồng đến 40.000.000 đồng đối với hành </w:t>
      </w:r>
      <w:proofErr w:type="gramStart"/>
      <w:r w:rsidRPr="00A35E40">
        <w:rPr>
          <w:rFonts w:eastAsia="Times New Roman" w:cs="Times New Roman"/>
          <w:color w:val="333333"/>
          <w:szCs w:val="28"/>
        </w:rPr>
        <w:t>vi</w:t>
      </w:r>
      <w:proofErr w:type="gramEnd"/>
      <w:r w:rsidRPr="00A35E40">
        <w:rPr>
          <w:rFonts w:eastAsia="Times New Roman" w:cs="Times New Roman"/>
          <w:color w:val="333333"/>
          <w:szCs w:val="28"/>
        </w:rPr>
        <w:t xml:space="preserve"> không có mặt đúng thời gian hoặc địa điểm tập trung ghi trong lệnh gọi nhập ngũ mà không có lý do chính đáng.</w:t>
      </w:r>
    </w:p>
    <w:p w:rsidR="009451F7" w:rsidRPr="00A35E40" w:rsidRDefault="009451F7" w:rsidP="009451F7">
      <w:pPr>
        <w:shd w:val="clear" w:color="auto" w:fill="FFFFFF"/>
        <w:spacing w:line="240" w:lineRule="auto"/>
        <w:jc w:val="both"/>
        <w:rPr>
          <w:rFonts w:eastAsia="Times New Roman" w:cs="Times New Roman"/>
          <w:i/>
          <w:iCs/>
          <w:color w:val="333333"/>
          <w:szCs w:val="28"/>
        </w:rPr>
      </w:pPr>
      <w:r w:rsidRPr="00A35E40">
        <w:rPr>
          <w:rFonts w:eastAsia="Times New Roman" w:cs="Times New Roman"/>
          <w:i/>
          <w:iCs/>
          <w:color w:val="333333"/>
          <w:szCs w:val="28"/>
        </w:rPr>
        <w:t xml:space="preserve">"Lý do chính đáng", hành </w:t>
      </w:r>
      <w:proofErr w:type="gramStart"/>
      <w:r w:rsidRPr="00A35E40">
        <w:rPr>
          <w:rFonts w:eastAsia="Times New Roman" w:cs="Times New Roman"/>
          <w:i/>
          <w:iCs/>
          <w:color w:val="333333"/>
          <w:szCs w:val="28"/>
        </w:rPr>
        <w:t>vi</w:t>
      </w:r>
      <w:proofErr w:type="gramEnd"/>
      <w:r w:rsidRPr="00A35E40">
        <w:rPr>
          <w:rFonts w:eastAsia="Times New Roman" w:cs="Times New Roman"/>
          <w:i/>
          <w:iCs/>
          <w:color w:val="333333"/>
          <w:szCs w:val="28"/>
        </w:rPr>
        <w:t xml:space="preserve"> “gian dối làm sai lệch kết quả phân loại sức khỏe của mình” được hướng dẫn bởi Điều 5 và Điều 6 </w:t>
      </w:r>
      <w:hyperlink r:id="rId17" w:tgtFrame="_blank" w:history="1">
        <w:r w:rsidRPr="00A35E40">
          <w:rPr>
            <w:rFonts w:eastAsia="Times New Roman" w:cs="Times New Roman"/>
            <w:i/>
            <w:iCs/>
            <w:color w:val="0000FF"/>
            <w:szCs w:val="28"/>
            <w:u w:val="single"/>
          </w:rPr>
          <w:t>Thông tư 95/2014/TT-BQP</w:t>
        </w:r>
      </w:hyperlink>
      <w:r w:rsidRPr="00A35E40">
        <w:rPr>
          <w:rFonts w:eastAsia="Times New Roman" w:cs="Times New Roman"/>
          <w:i/>
          <w:iCs/>
          <w:color w:val="333333"/>
          <w:szCs w:val="28"/>
        </w:rPr>
        <w:t>.</w:t>
      </w:r>
    </w:p>
    <w:p w:rsidR="009451F7" w:rsidRPr="00A35E40" w:rsidRDefault="009451F7" w:rsidP="009451F7">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Phạt tiền từ 40.000.000 đồng đến 50.000.000 đồng đối với hành </w:t>
      </w:r>
      <w:proofErr w:type="gramStart"/>
      <w:r w:rsidRPr="00A35E40">
        <w:rPr>
          <w:rFonts w:eastAsia="Times New Roman" w:cs="Times New Roman"/>
          <w:color w:val="333333"/>
          <w:szCs w:val="28"/>
        </w:rPr>
        <w:t>vi</w:t>
      </w:r>
      <w:proofErr w:type="gramEnd"/>
      <w:r w:rsidRPr="00A35E40">
        <w:rPr>
          <w:rFonts w:eastAsia="Times New Roman" w:cs="Times New Roman"/>
          <w:color w:val="333333"/>
          <w:szCs w:val="28"/>
        </w:rPr>
        <w:t xml:space="preserve"> gian dối nhằm trốn tránh thực hiện lệnh gọi nhập ngũ sau khi đã có kết quả khám tuyển sức khỏe nghĩa vụ quân sự đủ điều kiện nhập ngũ theo quy định.</w:t>
      </w:r>
    </w:p>
    <w:p w:rsidR="009451F7" w:rsidRPr="00A35E40" w:rsidRDefault="009451F7" w:rsidP="009451F7">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Phạt tiền từ 50.000.000 đồng đến 75.000.000 đồng đối với hành </w:t>
      </w:r>
      <w:proofErr w:type="gramStart"/>
      <w:r w:rsidRPr="00A35E40">
        <w:rPr>
          <w:rFonts w:eastAsia="Times New Roman" w:cs="Times New Roman"/>
          <w:color w:val="333333"/>
          <w:szCs w:val="28"/>
        </w:rPr>
        <w:t>vi</w:t>
      </w:r>
      <w:proofErr w:type="gramEnd"/>
      <w:r w:rsidRPr="00A35E40">
        <w:rPr>
          <w:rFonts w:eastAsia="Times New Roman" w:cs="Times New Roman"/>
          <w:color w:val="333333"/>
          <w:szCs w:val="28"/>
        </w:rPr>
        <w:t xml:space="preserve"> không chấp hành lệnh gọi nhập ngũ, trừ 02 trường hợp đã nêu ở trên.</w:t>
      </w:r>
    </w:p>
    <w:p w:rsidR="009451F7" w:rsidRPr="00A35E40" w:rsidRDefault="009451F7" w:rsidP="009451F7">
      <w:pPr>
        <w:shd w:val="clear" w:color="auto" w:fill="FFFFFF"/>
        <w:spacing w:before="300" w:after="150" w:line="240" w:lineRule="auto"/>
        <w:jc w:val="both"/>
        <w:outlineLvl w:val="2"/>
        <w:rPr>
          <w:rFonts w:eastAsia="Times New Roman" w:cs="Times New Roman"/>
          <w:color w:val="333333"/>
          <w:szCs w:val="28"/>
        </w:rPr>
      </w:pPr>
      <w:proofErr w:type="gramStart"/>
      <w:r w:rsidRPr="00A35E40">
        <w:rPr>
          <w:rFonts w:eastAsia="Times New Roman" w:cs="Times New Roman"/>
          <w:b/>
          <w:bCs/>
          <w:i/>
          <w:iCs/>
          <w:color w:val="333333"/>
          <w:szCs w:val="28"/>
        </w:rPr>
        <w:t>1.4 Vi</w:t>
      </w:r>
      <w:proofErr w:type="gramEnd"/>
      <w:r w:rsidRPr="00A35E40">
        <w:rPr>
          <w:rFonts w:eastAsia="Times New Roman" w:cs="Times New Roman"/>
          <w:b/>
          <w:bCs/>
          <w:i/>
          <w:iCs/>
          <w:color w:val="333333"/>
          <w:szCs w:val="28"/>
        </w:rPr>
        <w:t xml:space="preserve"> phạm các quy định về thực hiện nghĩa vụ quân sự</w:t>
      </w:r>
    </w:p>
    <w:p w:rsidR="009451F7" w:rsidRPr="00A35E40" w:rsidRDefault="009451F7" w:rsidP="009451F7">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lastRenderedPageBreak/>
        <w:t>Theo Điều 9 </w:t>
      </w:r>
      <w:hyperlink r:id="rId18" w:tgtFrame="_blank" w:history="1">
        <w:r w:rsidRPr="00A35E40">
          <w:rPr>
            <w:rFonts w:eastAsia="Times New Roman" w:cs="Times New Roman"/>
            <w:color w:val="0000FF"/>
            <w:szCs w:val="28"/>
            <w:u w:val="single"/>
          </w:rPr>
          <w:t>Nghị định 120/2013/NĐ-CP</w:t>
        </w:r>
      </w:hyperlink>
      <w:r w:rsidRPr="00A35E40">
        <w:rPr>
          <w:rFonts w:eastAsia="Times New Roman" w:cs="Times New Roman"/>
          <w:color w:val="333333"/>
          <w:szCs w:val="28"/>
        </w:rPr>
        <w:t> (sửa đổi bởi khoản 10 Điều 1 </w:t>
      </w:r>
      <w:hyperlink r:id="rId19" w:tgtFrame="_blank" w:history="1">
        <w:r w:rsidRPr="00A35E40">
          <w:rPr>
            <w:rFonts w:eastAsia="Times New Roman" w:cs="Times New Roman"/>
            <w:color w:val="0000FF"/>
            <w:szCs w:val="28"/>
            <w:u w:val="single"/>
          </w:rPr>
          <w:t>Nghị định 37/2022/NĐ-CP</w:t>
        </w:r>
      </w:hyperlink>
      <w:r w:rsidRPr="00A35E40">
        <w:rPr>
          <w:rFonts w:eastAsia="Times New Roman" w:cs="Times New Roman"/>
          <w:color w:val="333333"/>
          <w:szCs w:val="28"/>
        </w:rPr>
        <w:t>) quy định việc xử lý vi phạm về thực hiện nghĩa vụ quân sự như sau:</w:t>
      </w:r>
    </w:p>
    <w:p w:rsidR="009451F7" w:rsidRPr="00A35E40" w:rsidRDefault="009451F7" w:rsidP="009451F7">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Phạt tiền từ 10.000.000 đồng đến 15.000.000 đồng đối với một trong các hành </w:t>
      </w:r>
      <w:proofErr w:type="gramStart"/>
      <w:r w:rsidRPr="00A35E40">
        <w:rPr>
          <w:rFonts w:eastAsia="Times New Roman" w:cs="Times New Roman"/>
          <w:color w:val="333333"/>
          <w:szCs w:val="28"/>
        </w:rPr>
        <w:t>vi</w:t>
      </w:r>
      <w:proofErr w:type="gramEnd"/>
      <w:r w:rsidRPr="00A35E40">
        <w:rPr>
          <w:rFonts w:eastAsia="Times New Roman" w:cs="Times New Roman"/>
          <w:color w:val="333333"/>
          <w:szCs w:val="28"/>
        </w:rPr>
        <w:t xml:space="preserve"> sau:</w:t>
      </w:r>
    </w:p>
    <w:p w:rsidR="009451F7" w:rsidRPr="00A35E40" w:rsidRDefault="009451F7" w:rsidP="009451F7">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Báo cáo không đầy đủ danh sách công dân nam đủ 17 tuổi trong năm, công dân nữ có ngành nghề chuyên môn phù hợp với yêu cầu của Quân đội nhân dân trong độ tuổi thực hiện nghĩa vụ quân sự từ đủ 18 tuổi đến hết 40 tuổi; báo cáo không đầy đủ số lượng quân nhân dự bị và người sẵn sàng nhập ngũ ở cơ quan, tổ chức mình theo quy định;</w:t>
      </w:r>
    </w:p>
    <w:p w:rsidR="009451F7" w:rsidRPr="00A35E40" w:rsidRDefault="009451F7" w:rsidP="009451F7">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Cố ý báo cáo không chính xác danh sách công dân nam đủ 17 tuổi trong năm, công dân nữ có ngành nghề chuyên môn phù hợp với yêu cầu của Quân đội nhân dân trong độ tuổi thực hiện nghĩa vụ quân sự từ đủ 18 tuổi đến hết 40 tuổi; báo cáo không chính xác số lượng quân nhân dự bị và </w:t>
      </w:r>
      <w:r w:rsidRPr="00A35E40">
        <w:rPr>
          <w:rFonts w:eastAsia="Times New Roman" w:cs="Times New Roman"/>
          <w:color w:val="333333"/>
          <w:szCs w:val="28"/>
        </w:rPr>
        <w:lastRenderedPageBreak/>
        <w:t>người sẵn sàng nhập ngũ ở cơ quan, tổ chức mình theo quy định.</w:t>
      </w:r>
    </w:p>
    <w:p w:rsidR="009451F7" w:rsidRPr="00A35E40" w:rsidRDefault="009451F7" w:rsidP="009451F7">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Phạt tiền từ 15.000.000 đồng đến 20.000.000 đồng đối với một trong các hành </w:t>
      </w:r>
      <w:proofErr w:type="gramStart"/>
      <w:r w:rsidRPr="00A35E40">
        <w:rPr>
          <w:rFonts w:eastAsia="Times New Roman" w:cs="Times New Roman"/>
          <w:color w:val="333333"/>
          <w:szCs w:val="28"/>
        </w:rPr>
        <w:t>vi</w:t>
      </w:r>
      <w:proofErr w:type="gramEnd"/>
      <w:r w:rsidRPr="00A35E40">
        <w:rPr>
          <w:rFonts w:eastAsia="Times New Roman" w:cs="Times New Roman"/>
          <w:color w:val="333333"/>
          <w:szCs w:val="28"/>
        </w:rPr>
        <w:t xml:space="preserve"> sau:</w:t>
      </w:r>
    </w:p>
    <w:p w:rsidR="009451F7" w:rsidRPr="00A35E40" w:rsidRDefault="009451F7" w:rsidP="009451F7">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Không báo cáo danh sách công dân nam đủ 17 tuổi trong năm, công dân nữ có ngành nghề chuyên môn phù hợp với yêu cầu của Quân đội nhân dân từ đủ 18 tuổi đến hết 40 tuổi;</w:t>
      </w:r>
    </w:p>
    <w:p w:rsidR="009451F7" w:rsidRPr="00A35E40" w:rsidRDefault="009451F7" w:rsidP="009451F7">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Không báo cáo số lượng quân nhân dự bị và người sẵn sàng nhập </w:t>
      </w:r>
      <w:proofErr w:type="gramStart"/>
      <w:r w:rsidRPr="00A35E40">
        <w:rPr>
          <w:rFonts w:eastAsia="Times New Roman" w:cs="Times New Roman"/>
          <w:color w:val="333333"/>
          <w:szCs w:val="28"/>
        </w:rPr>
        <w:t>ngũ</w:t>
      </w:r>
      <w:proofErr w:type="gramEnd"/>
      <w:r w:rsidRPr="00A35E40">
        <w:rPr>
          <w:rFonts w:eastAsia="Times New Roman" w:cs="Times New Roman"/>
          <w:color w:val="333333"/>
          <w:szCs w:val="28"/>
        </w:rPr>
        <w:t xml:space="preserve"> ở cơ quan, tổ chức mình theo quy định.</w:t>
      </w:r>
    </w:p>
    <w:p w:rsidR="009451F7" w:rsidRPr="00A35E40" w:rsidRDefault="009451F7" w:rsidP="009451F7">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Phạt tiền từ 20.000.000 đồng đến 30.000.000 đồng đối với hành </w:t>
      </w:r>
      <w:proofErr w:type="gramStart"/>
      <w:r w:rsidRPr="00A35E40">
        <w:rPr>
          <w:rFonts w:eastAsia="Times New Roman" w:cs="Times New Roman"/>
          <w:color w:val="333333"/>
          <w:szCs w:val="28"/>
        </w:rPr>
        <w:t>vi</w:t>
      </w:r>
      <w:proofErr w:type="gramEnd"/>
      <w:r w:rsidRPr="00A35E40">
        <w:rPr>
          <w:rFonts w:eastAsia="Times New Roman" w:cs="Times New Roman"/>
          <w:color w:val="333333"/>
          <w:szCs w:val="28"/>
        </w:rPr>
        <w:t xml:space="preserve"> không tiếp nhận trở lại trường học; không tiếp nhận và bố trí việc làm cho hạ sĩ quan, binh sĩ đã hoàn thành nghĩa vụ quân sự trở về cơ quan, tổ chức cũ làm việc.</w:t>
      </w:r>
    </w:p>
    <w:p w:rsidR="009451F7" w:rsidRPr="00A35E40" w:rsidRDefault="009451F7" w:rsidP="009451F7">
      <w:pPr>
        <w:shd w:val="clear" w:color="auto" w:fill="FFFFFF"/>
        <w:spacing w:before="300" w:after="150" w:line="240" w:lineRule="auto"/>
        <w:jc w:val="both"/>
        <w:outlineLvl w:val="1"/>
        <w:rPr>
          <w:rFonts w:eastAsia="Times New Roman" w:cs="Times New Roman"/>
          <w:color w:val="333333"/>
          <w:szCs w:val="28"/>
        </w:rPr>
      </w:pPr>
      <w:r w:rsidRPr="00A35E40">
        <w:rPr>
          <w:rFonts w:eastAsia="Times New Roman" w:cs="Times New Roman"/>
          <w:b/>
          <w:bCs/>
          <w:color w:val="333333"/>
          <w:szCs w:val="28"/>
        </w:rPr>
        <w:t xml:space="preserve">2. Truy cứu trách nhiệm hình sự về </w:t>
      </w:r>
      <w:proofErr w:type="gramStart"/>
      <w:r w:rsidRPr="00A35E40">
        <w:rPr>
          <w:rFonts w:eastAsia="Times New Roman" w:cs="Times New Roman"/>
          <w:b/>
          <w:bCs/>
          <w:color w:val="333333"/>
          <w:szCs w:val="28"/>
        </w:rPr>
        <w:t>vi</w:t>
      </w:r>
      <w:proofErr w:type="gramEnd"/>
      <w:r w:rsidRPr="00A35E40">
        <w:rPr>
          <w:rFonts w:eastAsia="Times New Roman" w:cs="Times New Roman"/>
          <w:b/>
          <w:bCs/>
          <w:color w:val="333333"/>
          <w:szCs w:val="28"/>
        </w:rPr>
        <w:t xml:space="preserve"> phạm quy định nghĩa vụ quân sự</w:t>
      </w:r>
    </w:p>
    <w:p w:rsidR="009451F7" w:rsidRPr="00A35E40" w:rsidRDefault="009451F7" w:rsidP="009451F7">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Đối với các hành vi không chấp hành đúng quy định của pháp luật về đăng ký nghĩa vụ quân sự, không chấp hành </w:t>
      </w:r>
      <w:r w:rsidRPr="00A35E40">
        <w:rPr>
          <w:rFonts w:eastAsia="Times New Roman" w:cs="Times New Roman"/>
          <w:color w:val="333333"/>
          <w:szCs w:val="28"/>
        </w:rPr>
        <w:lastRenderedPageBreak/>
        <w:t>lệnh gọi nhập ngũ, lệnh gọi tập trung huấn luyện, đã bị xử phạt vi phạm hành chính về hành vi này hoặc đã bị kết án về tội này, chưa được xóa án tích mà còn vi phạm sẽ bị xử phạt:</w:t>
      </w:r>
    </w:p>
    <w:p w:rsidR="009451F7" w:rsidRPr="00A35E40" w:rsidRDefault="009451F7" w:rsidP="009451F7">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Cải tạo không giam giữ đến 02 năm hoặc phạt tù từ 03 tháng đến 02 năm.</w:t>
      </w:r>
    </w:p>
    <w:p w:rsidR="009451F7" w:rsidRPr="00A35E40" w:rsidRDefault="009451F7" w:rsidP="009451F7">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xml:space="preserve">- Ngoài ra, công dân có thể bị phạt tù từ 01 năm đến 05 năm nếu </w:t>
      </w:r>
      <w:proofErr w:type="gramStart"/>
      <w:r w:rsidRPr="00A35E40">
        <w:rPr>
          <w:rFonts w:eastAsia="Times New Roman" w:cs="Times New Roman"/>
          <w:color w:val="333333"/>
          <w:szCs w:val="28"/>
        </w:rPr>
        <w:t>vi</w:t>
      </w:r>
      <w:proofErr w:type="gramEnd"/>
      <w:r w:rsidRPr="00A35E40">
        <w:rPr>
          <w:rFonts w:eastAsia="Times New Roman" w:cs="Times New Roman"/>
          <w:color w:val="333333"/>
          <w:szCs w:val="28"/>
        </w:rPr>
        <w:t xml:space="preserve"> phạm:</w:t>
      </w:r>
    </w:p>
    <w:p w:rsidR="009451F7" w:rsidRPr="00A35E40" w:rsidRDefault="009451F7" w:rsidP="009451F7">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Tự gây thương tích hoặc gây tổn hại cho sức khỏe của mình;</w:t>
      </w:r>
    </w:p>
    <w:p w:rsidR="009451F7" w:rsidRPr="00A35E40" w:rsidRDefault="009451F7" w:rsidP="009451F7">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Phạm tội trong thời chiến;</w:t>
      </w:r>
    </w:p>
    <w:p w:rsidR="009451F7" w:rsidRPr="00A35E40" w:rsidRDefault="009451F7" w:rsidP="009451F7">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 Lôi kéo người khác phạm tội.</w:t>
      </w:r>
    </w:p>
    <w:p w:rsidR="009451F7" w:rsidRPr="00A35E40" w:rsidRDefault="009451F7" w:rsidP="009451F7">
      <w:pPr>
        <w:shd w:val="clear" w:color="auto" w:fill="FFFFFF"/>
        <w:spacing w:after="150" w:line="240" w:lineRule="auto"/>
        <w:jc w:val="both"/>
        <w:rPr>
          <w:rFonts w:eastAsia="Times New Roman" w:cs="Times New Roman"/>
          <w:color w:val="333333"/>
          <w:szCs w:val="28"/>
        </w:rPr>
      </w:pPr>
      <w:r w:rsidRPr="00A35E40">
        <w:rPr>
          <w:rFonts w:eastAsia="Times New Roman" w:cs="Times New Roman"/>
          <w:color w:val="333333"/>
          <w:szCs w:val="28"/>
        </w:rPr>
        <w:t>(Căn cứ Điều 332 </w:t>
      </w:r>
      <w:hyperlink r:id="rId20" w:tgtFrame="_blank" w:history="1">
        <w:r w:rsidRPr="00A35E40">
          <w:rPr>
            <w:rFonts w:eastAsia="Times New Roman" w:cs="Times New Roman"/>
            <w:color w:val="0000FF"/>
            <w:szCs w:val="28"/>
            <w:u w:val="single"/>
          </w:rPr>
          <w:t>Bộ luật Hình sự 2015</w:t>
        </w:r>
      </w:hyperlink>
      <w:r w:rsidRPr="00A35E40">
        <w:rPr>
          <w:rFonts w:eastAsia="Times New Roman" w:cs="Times New Roman"/>
          <w:color w:val="333333"/>
          <w:szCs w:val="28"/>
        </w:rPr>
        <w:t>)</w:t>
      </w:r>
    </w:p>
    <w:p w:rsidR="009451F7" w:rsidRPr="00A35E40" w:rsidRDefault="009451F7" w:rsidP="009451F7">
      <w:pPr>
        <w:jc w:val="both"/>
        <w:rPr>
          <w:rFonts w:cs="Times New Roman"/>
          <w:szCs w:val="28"/>
        </w:rPr>
      </w:pPr>
    </w:p>
    <w:p w:rsidR="00B93631" w:rsidRDefault="00B93631"/>
    <w:sectPr w:rsidR="00B93631" w:rsidSect="009451F7">
      <w:pgSz w:w="15840" w:h="12240" w:orient="landscape"/>
      <w:pgMar w:top="1440" w:right="851" w:bottom="1440" w:left="426" w:header="720" w:footer="720" w:gutter="0"/>
      <w:cols w:num="3"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1F7"/>
    <w:rsid w:val="007623EB"/>
    <w:rsid w:val="00807F0A"/>
    <w:rsid w:val="009451F7"/>
    <w:rsid w:val="00B93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1F7"/>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1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1F7"/>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1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37-2022-ND-CP-sua-doi-Nghi-dinh-xu-phat-vi-pham-quoc-phong-bao-ve-bien-gioi-quoc-gia-516091.aspx" TargetMode="External"/><Relationship Id="rId13" Type="http://schemas.openxmlformats.org/officeDocument/2006/relationships/hyperlink" Target="https://thuvienphapluat.vn/van-ban/Linh-vuc-khac/Luat-nghia-vu-quan-su-2015-282383.aspx" TargetMode="External"/><Relationship Id="rId18" Type="http://schemas.openxmlformats.org/officeDocument/2006/relationships/hyperlink" Target="https://thuvienphapluat.vn/van-ban/Bo-may-hanh-chinh/Nghi-dinh-120-2013-ND-CP-xu-phat-vi-pham-hanh-chinh-quoc-phong-co-yeu-209606.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huvienphapluat.vn/van-ban/Bo-may-hanh-chinh/Nghi-dinh-120-2013-ND-CP-xu-phat-vi-pham-hanh-chinh-quoc-phong-co-yeu-209606.aspx" TargetMode="External"/><Relationship Id="rId12" Type="http://schemas.openxmlformats.org/officeDocument/2006/relationships/hyperlink" Target="https://thuvienphapluat.vn/van-ban/Bo-may-hanh-chinh/Nghi-dinh-37-2022-ND-CP-sua-doi-Nghi-dinh-xu-phat-vi-pham-quoc-phong-bao-ve-bien-gioi-quoc-gia-516091.aspx" TargetMode="External"/><Relationship Id="rId17" Type="http://schemas.openxmlformats.org/officeDocument/2006/relationships/hyperlink" Target="https://thuvienphapluat.vn/van-ban/Vi-pham-hanh-chinh/Thong-tu-95-2014-TT-BQP-huong-dan-120-2013-ND-CP-xu-phat-vi-pham-hanh-chinh-quoc-phong-239533.aspx" TargetMode="External"/><Relationship Id="rId2" Type="http://schemas.microsoft.com/office/2007/relationships/stylesWithEffects" Target="stylesWithEffects.xml"/><Relationship Id="rId16" Type="http://schemas.openxmlformats.org/officeDocument/2006/relationships/hyperlink" Target="https://thuvienphapluat.vn/van-ban/Bo-may-hanh-chinh/Nghi-dinh-120-2013-ND-CP-xu-phat-vi-pham-hanh-chinh-quoc-phong-co-yeu-209606.aspx" TargetMode="External"/><Relationship Id="rId20" Type="http://schemas.openxmlformats.org/officeDocument/2006/relationships/hyperlink" Target="https://thuvienphapluat.vn/van-ban/Trach-nhiem-hinh-su/Bo-luat-hinh-su-2015-296661.aspx" TargetMode="Externa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hyperlink" Target="https://thuvienphapluat.vn/van-ban/Bo-may-hanh-chinh/Nghi-dinh-120-2013-ND-CP-xu-phat-vi-pham-hanh-chinh-quoc-phong-co-yeu-209606.aspx" TargetMode="External"/><Relationship Id="rId5" Type="http://schemas.openxmlformats.org/officeDocument/2006/relationships/image" Target="media/image1.png"/><Relationship Id="rId15" Type="http://schemas.openxmlformats.org/officeDocument/2006/relationships/hyperlink" Target="https://thuvienphapluat.vn/van-ban/Bo-may-hanh-chinh/Nghi-dinh-37-2022-ND-CP-sua-doi-Nghi-dinh-xu-phat-vi-pham-quoc-phong-bao-ve-bien-gioi-quoc-gia-516091.aspx" TargetMode="External"/><Relationship Id="rId10" Type="http://schemas.openxmlformats.org/officeDocument/2006/relationships/hyperlink" Target="https://thuvienphapluat.vn/van-ban/Bo-may-hanh-chinh/Nghi-dinh-37-2022-ND-CP-sua-doi-Nghi-dinh-xu-phat-vi-pham-quoc-phong-bao-ve-bien-gioi-quoc-gia-516091.aspx" TargetMode="External"/><Relationship Id="rId19" Type="http://schemas.openxmlformats.org/officeDocument/2006/relationships/hyperlink" Target="https://thuvienphapluat.vn/van-ban/Bo-may-hanh-chinh/Nghi-dinh-37-2022-ND-CP-sua-doi-Nghi-dinh-xu-phat-vi-pham-quoc-phong-bao-ve-bien-gioi-quoc-gia-516091.aspx" TargetMode="External"/><Relationship Id="rId4" Type="http://schemas.openxmlformats.org/officeDocument/2006/relationships/webSettings" Target="webSettings.xml"/><Relationship Id="rId9" Type="http://schemas.openxmlformats.org/officeDocument/2006/relationships/hyperlink" Target="https://thuvienphapluat.vn/van-ban/Bo-may-hanh-chinh/Nghi-dinh-120-2013-ND-CP-xu-phat-vi-pham-hanh-chinh-quoc-phong-co-yeu-209606.aspx" TargetMode="External"/><Relationship Id="rId14" Type="http://schemas.openxmlformats.org/officeDocument/2006/relationships/hyperlink" Target="https://thuvienphapluat.vn/van-ban/Linh-vuc-khac/Luat-nghia-vu-quan-su-2015-282383.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computer</cp:lastModifiedBy>
  <cp:revision>2</cp:revision>
  <dcterms:created xsi:type="dcterms:W3CDTF">2022-10-10T00:27:00Z</dcterms:created>
  <dcterms:modified xsi:type="dcterms:W3CDTF">2023-12-30T07:25:00Z</dcterms:modified>
</cp:coreProperties>
</file>